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1612" w14:textId="55C7917B" w:rsidR="00660064" w:rsidRPr="00C7563C" w:rsidRDefault="00C7563C" w:rsidP="00C7563C">
      <w:pPr>
        <w:rPr>
          <w:b/>
          <w:bCs/>
          <w:sz w:val="24"/>
          <w:szCs w:val="24"/>
          <w:u w:val="single"/>
        </w:rPr>
      </w:pPr>
      <w:bookmarkStart w:id="0" w:name="_Hlk187199568"/>
      <w:r w:rsidRPr="00C7563C">
        <w:rPr>
          <w:b/>
          <w:bCs/>
          <w:sz w:val="24"/>
          <w:szCs w:val="24"/>
          <w:u w:val="single"/>
        </w:rPr>
        <w:t xml:space="preserve">Anticoagulation in patients with </w:t>
      </w:r>
      <w:r w:rsidR="003718F8" w:rsidRPr="00660064">
        <w:rPr>
          <w:b/>
          <w:bCs/>
          <w:sz w:val="24"/>
          <w:szCs w:val="24"/>
          <w:u w:val="single"/>
        </w:rPr>
        <w:t>l</w:t>
      </w:r>
      <w:r w:rsidRPr="00C7563C">
        <w:rPr>
          <w:b/>
          <w:bCs/>
          <w:sz w:val="24"/>
          <w:szCs w:val="24"/>
          <w:u w:val="single"/>
        </w:rPr>
        <w:t xml:space="preserve">uminal </w:t>
      </w:r>
      <w:r w:rsidR="00F737C2">
        <w:rPr>
          <w:b/>
          <w:bCs/>
          <w:sz w:val="24"/>
          <w:szCs w:val="24"/>
          <w:u w:val="single"/>
        </w:rPr>
        <w:t xml:space="preserve">GI </w:t>
      </w:r>
      <w:r w:rsidR="003718F8" w:rsidRPr="00660064">
        <w:rPr>
          <w:b/>
          <w:bCs/>
          <w:sz w:val="24"/>
          <w:szCs w:val="24"/>
          <w:u w:val="single"/>
        </w:rPr>
        <w:t>c</w:t>
      </w:r>
      <w:r w:rsidRPr="00C7563C">
        <w:rPr>
          <w:b/>
          <w:bCs/>
          <w:sz w:val="24"/>
          <w:szCs w:val="24"/>
          <w:u w:val="single"/>
        </w:rPr>
        <w:t>ancers – the risks are G</w:t>
      </w:r>
      <w:r w:rsidR="00F737C2">
        <w:rPr>
          <w:b/>
          <w:bCs/>
          <w:sz w:val="24"/>
          <w:szCs w:val="24"/>
          <w:u w:val="single"/>
        </w:rPr>
        <w:t>I-</w:t>
      </w:r>
      <w:proofErr w:type="spellStart"/>
      <w:r w:rsidRPr="00C7563C">
        <w:rPr>
          <w:b/>
          <w:bCs/>
          <w:sz w:val="24"/>
          <w:szCs w:val="24"/>
          <w:u w:val="single"/>
        </w:rPr>
        <w:t>normous</w:t>
      </w:r>
      <w:proofErr w:type="spellEnd"/>
    </w:p>
    <w:p w14:paraId="1FAA662B" w14:textId="07A9054C" w:rsidR="0046260C" w:rsidRPr="0046260C" w:rsidRDefault="0046260C" w:rsidP="0046260C">
      <w:pPr>
        <w:rPr>
          <w:b/>
          <w:bCs/>
        </w:rPr>
      </w:pPr>
      <w:r>
        <w:rPr>
          <w:b/>
          <w:bCs/>
        </w:rPr>
        <w:t>I</w:t>
      </w:r>
      <w:r w:rsidR="00D96FC7">
        <w:rPr>
          <w:b/>
          <w:bCs/>
        </w:rPr>
        <w:t>ntroduction</w:t>
      </w:r>
      <w:r w:rsidRPr="0046260C">
        <w:rPr>
          <w:b/>
          <w:bCs/>
        </w:rPr>
        <w:t>:</w:t>
      </w:r>
    </w:p>
    <w:p w14:paraId="6FBDFDF4" w14:textId="50C21001" w:rsidR="00D76184" w:rsidRDefault="0060700A" w:rsidP="0046260C">
      <w:r>
        <w:t xml:space="preserve">Anticoagulants are used to treat </w:t>
      </w:r>
      <w:r w:rsidRPr="000C7F39">
        <w:t>venous thromboembolism (VTE).</w:t>
      </w:r>
      <w:r>
        <w:t xml:space="preserve"> </w:t>
      </w:r>
      <w:r w:rsidR="00B44869">
        <w:t>Patients with cancer are at high</w:t>
      </w:r>
      <w:r w:rsidR="00B26C8A">
        <w:t>er</w:t>
      </w:r>
      <w:r w:rsidR="00B44869">
        <w:t xml:space="preserve"> risk of VTE. </w:t>
      </w:r>
      <w:r w:rsidR="00D76184" w:rsidRPr="000C7F39">
        <w:t>However, t</w:t>
      </w:r>
      <w:r w:rsidR="0071539F" w:rsidRPr="000C7F39">
        <w:t>hey</w:t>
      </w:r>
      <w:r w:rsidR="0016579F" w:rsidRPr="000C7F39">
        <w:t xml:space="preserve"> increase the risk </w:t>
      </w:r>
      <w:r w:rsidR="000666C4" w:rsidRPr="000C7F39">
        <w:t>of bleeding</w:t>
      </w:r>
      <w:r w:rsidR="00EB7753" w:rsidRPr="000C7F39">
        <w:t xml:space="preserve"> with serious consequences</w:t>
      </w:r>
      <w:r w:rsidR="0016579F" w:rsidRPr="000C7F39">
        <w:t>. In patients with a luminal</w:t>
      </w:r>
      <w:r w:rsidR="0046260C" w:rsidRPr="000C7F39">
        <w:t xml:space="preserve"> </w:t>
      </w:r>
      <w:r w:rsidR="0016579F" w:rsidRPr="000C7F39">
        <w:t>gastrointestinal (GI) cancer, the risk of GI bleeding is</w:t>
      </w:r>
      <w:r w:rsidR="00D76184" w:rsidRPr="000C7F39">
        <w:t xml:space="preserve"> higher</w:t>
      </w:r>
      <w:r w:rsidR="00067163" w:rsidRPr="000C7F39">
        <w:rPr>
          <w:vertAlign w:val="superscript"/>
        </w:rPr>
        <w:t xml:space="preserve"> </w:t>
      </w:r>
      <w:r w:rsidR="00D76184" w:rsidRPr="000C7F39">
        <w:t>with</w:t>
      </w:r>
      <w:r w:rsidR="005E02F1" w:rsidRPr="000C7F39">
        <w:t xml:space="preserve"> a Direct Oral Anticoagulant (DOAC</w:t>
      </w:r>
      <w:proofErr w:type="gramStart"/>
      <w:r w:rsidR="005E02F1" w:rsidRPr="000C7F39">
        <w:t>)</w:t>
      </w:r>
      <w:proofErr w:type="gramEnd"/>
      <w:r w:rsidR="005E02F1" w:rsidRPr="000C7F39">
        <w:t xml:space="preserve"> or warfarin compared to Low Molecular Weight Heparin (LMWH)</w:t>
      </w:r>
      <w:r w:rsidR="00B44869">
        <w:rPr>
          <w:vertAlign w:val="superscript"/>
        </w:rPr>
        <w:t xml:space="preserve">. </w:t>
      </w:r>
    </w:p>
    <w:p w14:paraId="0759EE6F" w14:textId="549F6725" w:rsidR="0046260C" w:rsidRPr="0046260C" w:rsidRDefault="0016579F" w:rsidP="0046260C">
      <w:r>
        <w:t>Current guidelines from</w:t>
      </w:r>
      <w:r w:rsidR="0046260C" w:rsidRPr="0046260C">
        <w:t xml:space="preserve"> </w:t>
      </w:r>
      <w:proofErr w:type="gramStart"/>
      <w:r w:rsidR="00D76184" w:rsidRPr="0046260C">
        <w:t>NICE</w:t>
      </w:r>
      <w:r w:rsidR="00D76184" w:rsidRPr="0046260C">
        <w:rPr>
          <w:vertAlign w:val="superscript"/>
        </w:rPr>
        <w:t xml:space="preserve">  </w:t>
      </w:r>
      <w:r w:rsidR="00D76184" w:rsidRPr="0046260C">
        <w:t>and</w:t>
      </w:r>
      <w:proofErr w:type="gramEnd"/>
      <w:r w:rsidR="00D76184" w:rsidRPr="0046260C">
        <w:t xml:space="preserve"> </w:t>
      </w:r>
      <w:r w:rsidR="00B26C8A">
        <w:t xml:space="preserve">our </w:t>
      </w:r>
      <w:r w:rsidR="00D76184" w:rsidRPr="0046260C">
        <w:t>local cancer</w:t>
      </w:r>
      <w:r w:rsidR="00F34E68">
        <w:t xml:space="preserve"> referral</w:t>
      </w:r>
      <w:r w:rsidR="00D76184" w:rsidRPr="0046260C">
        <w:t xml:space="preserve"> centre</w:t>
      </w:r>
      <w:r w:rsidR="00F34E68">
        <w:rPr>
          <w:vertAlign w:val="superscript"/>
        </w:rPr>
        <w:t xml:space="preserve"> </w:t>
      </w:r>
      <w:r w:rsidR="0046260C" w:rsidRPr="0046260C">
        <w:t>advise that the anticoagul</w:t>
      </w:r>
      <w:r>
        <w:t>ant of choice in those with</w:t>
      </w:r>
      <w:r w:rsidR="0046260C" w:rsidRPr="0046260C">
        <w:t xml:space="preserve"> luminal cancers is LMWH</w:t>
      </w:r>
      <w:r>
        <w:t xml:space="preserve">. </w:t>
      </w:r>
      <w:r w:rsidR="0046260C" w:rsidRPr="0046260C">
        <w:t>In this audit, we aimed to evaluate our compliance with these guidelines for patients admitted to hospita</w:t>
      </w:r>
      <w:r w:rsidR="00A71E71">
        <w:t>l.</w:t>
      </w:r>
    </w:p>
    <w:p w14:paraId="201CD0E6" w14:textId="3FA435A8" w:rsidR="0046260C" w:rsidRPr="0046260C" w:rsidRDefault="0046260C" w:rsidP="0046260C">
      <w:pPr>
        <w:rPr>
          <w:b/>
          <w:bCs/>
        </w:rPr>
      </w:pPr>
      <w:r w:rsidRPr="0046260C">
        <w:rPr>
          <w:b/>
          <w:bCs/>
        </w:rPr>
        <w:t>M</w:t>
      </w:r>
      <w:r w:rsidR="00D96FC7">
        <w:rPr>
          <w:b/>
          <w:bCs/>
        </w:rPr>
        <w:t>ethods</w:t>
      </w:r>
      <w:r w:rsidRPr="0046260C">
        <w:rPr>
          <w:b/>
          <w:bCs/>
        </w:rPr>
        <w:t>:</w:t>
      </w:r>
    </w:p>
    <w:p w14:paraId="0C86C05B" w14:textId="6A64273F" w:rsidR="0046260C" w:rsidRDefault="0016579F" w:rsidP="0046260C">
      <w:r>
        <w:t xml:space="preserve">Data was collected for all adult </w:t>
      </w:r>
      <w:r w:rsidR="0046260C" w:rsidRPr="0046260C">
        <w:t>patients with a luminal cancer (</w:t>
      </w:r>
      <w:r w:rsidR="00781B34" w:rsidRPr="000C7F39">
        <w:t>oesophageal, gastric, biliary, pancreatic, colorectal</w:t>
      </w:r>
      <w:r w:rsidR="00781B34">
        <w:t xml:space="preserve"> - </w:t>
      </w:r>
      <w:r w:rsidR="0046260C" w:rsidRPr="00B26C8A">
        <w:t xml:space="preserve">previously diagnosed or diagnosed during admission) who </w:t>
      </w:r>
      <w:r w:rsidR="00B26C8A" w:rsidRPr="00B26C8A">
        <w:t>were anticoagulated</w:t>
      </w:r>
      <w:r w:rsidR="0046260C" w:rsidRPr="00B26C8A">
        <w:t xml:space="preserve"> (prior to admission or started durin</w:t>
      </w:r>
      <w:r w:rsidRPr="00B26C8A">
        <w:t xml:space="preserve">g the admission) admitted to </w:t>
      </w:r>
      <w:r w:rsidR="002A0474">
        <w:t>our hospita</w:t>
      </w:r>
      <w:r w:rsidRPr="00B26C8A">
        <w:t>l between August 2023 to</w:t>
      </w:r>
      <w:r w:rsidR="0046260C" w:rsidRPr="00B26C8A">
        <w:t xml:space="preserve"> March 20</w:t>
      </w:r>
      <w:r w:rsidRPr="00B26C8A">
        <w:t xml:space="preserve">24. </w:t>
      </w:r>
      <w:r w:rsidR="00505E0A" w:rsidRPr="00B26C8A">
        <w:t>This included</w:t>
      </w:r>
      <w:r w:rsidR="0046260C" w:rsidRPr="00B26C8A">
        <w:t xml:space="preserve"> data </w:t>
      </w:r>
      <w:r w:rsidR="00505E0A" w:rsidRPr="00B26C8A">
        <w:t>about</w:t>
      </w:r>
      <w:r w:rsidR="0046260C" w:rsidRPr="00B26C8A">
        <w:t xml:space="preserve"> their anticoagulant reg</w:t>
      </w:r>
      <w:r w:rsidRPr="00B26C8A">
        <w:t xml:space="preserve">ime, if the </w:t>
      </w:r>
      <w:r>
        <w:t>admission was due to</w:t>
      </w:r>
      <w:r w:rsidR="0046260C" w:rsidRPr="0046260C">
        <w:t xml:space="preserve"> GI bleeding and if any changes were made to their anticoagulant regime. </w:t>
      </w:r>
    </w:p>
    <w:p w14:paraId="7AAA7E13" w14:textId="0F127BA3" w:rsidR="00D76184" w:rsidRPr="00067163" w:rsidRDefault="0046260C" w:rsidP="0046260C">
      <w:pPr>
        <w:rPr>
          <w:b/>
          <w:bCs/>
        </w:rPr>
      </w:pPr>
      <w:r w:rsidRPr="0046260C">
        <w:rPr>
          <w:b/>
          <w:bCs/>
        </w:rPr>
        <w:t>R</w:t>
      </w:r>
      <w:r w:rsidR="00D96FC7">
        <w:rPr>
          <w:b/>
          <w:bCs/>
        </w:rPr>
        <w:t>esults</w:t>
      </w:r>
      <w:r w:rsidRPr="0046260C">
        <w:rPr>
          <w:b/>
          <w:bCs/>
        </w:rPr>
        <w:t>:</w:t>
      </w:r>
    </w:p>
    <w:p w14:paraId="2E7B746C" w14:textId="4F4BA8A8" w:rsidR="00641F08" w:rsidRPr="00B26C8A" w:rsidRDefault="00D76184" w:rsidP="0046260C">
      <w:r w:rsidRPr="00B26C8A">
        <w:t xml:space="preserve">There were 82 </w:t>
      </w:r>
      <w:r w:rsidR="00812738" w:rsidRPr="0046260C">
        <w:t xml:space="preserve">admissions of patients </w:t>
      </w:r>
      <w:r w:rsidRPr="00B26C8A">
        <w:t xml:space="preserve">with luminal cancers receiving anticoagulation during </w:t>
      </w:r>
      <w:r w:rsidR="008E26BC" w:rsidRPr="00B26C8A">
        <w:t>the</w:t>
      </w:r>
      <w:r w:rsidRPr="00B26C8A">
        <w:t xml:space="preserve"> study period</w:t>
      </w:r>
      <w:r w:rsidR="00273568" w:rsidRPr="00B26C8A">
        <w:t>.</w:t>
      </w:r>
      <w:r w:rsidR="00641F08" w:rsidRPr="00B26C8A">
        <w:t xml:space="preserve"> The mean age was 76. </w:t>
      </w:r>
      <w:r w:rsidR="00493173" w:rsidRPr="00B26C8A">
        <w:t xml:space="preserve">There were </w:t>
      </w:r>
      <w:r w:rsidR="008E26BC" w:rsidRPr="00B26C8A">
        <w:t>45</w:t>
      </w:r>
      <w:r w:rsidR="00641F08" w:rsidRPr="00B26C8A">
        <w:t xml:space="preserve"> </w:t>
      </w:r>
      <w:r w:rsidR="008E26BC" w:rsidRPr="00B26C8A">
        <w:t>males (55%)</w:t>
      </w:r>
      <w:r w:rsidR="00B26C8A" w:rsidRPr="00B26C8A">
        <w:t xml:space="preserve"> and 37 females (45%)</w:t>
      </w:r>
      <w:r w:rsidR="008E26BC" w:rsidRPr="00B26C8A">
        <w:t>.</w:t>
      </w:r>
    </w:p>
    <w:p w14:paraId="4C7C474E" w14:textId="630A19FA" w:rsidR="003C515D" w:rsidRPr="00B26C8A" w:rsidRDefault="0071539F" w:rsidP="0046260C">
      <w:r w:rsidRPr="00B26C8A">
        <w:t>83%</w:t>
      </w:r>
      <w:r w:rsidR="00067163" w:rsidRPr="00B26C8A">
        <w:t xml:space="preserve"> (68/82) </w:t>
      </w:r>
      <w:r w:rsidR="00273568" w:rsidRPr="00B26C8A">
        <w:t xml:space="preserve">were </w:t>
      </w:r>
      <w:r w:rsidR="0046260C" w:rsidRPr="00B26C8A">
        <w:t>ant</w:t>
      </w:r>
      <w:r w:rsidRPr="00B26C8A">
        <w:t>icoagulated prior to admission</w:t>
      </w:r>
      <w:r w:rsidR="00D76184" w:rsidRPr="00B26C8A">
        <w:t>; 4</w:t>
      </w:r>
      <w:r w:rsidR="0046260C" w:rsidRPr="00B26C8A">
        <w:t>5</w:t>
      </w:r>
      <w:r w:rsidRPr="00B26C8A">
        <w:t xml:space="preserve"> (6</w:t>
      </w:r>
      <w:r w:rsidR="00273568" w:rsidRPr="00B26C8A">
        <w:t>6</w:t>
      </w:r>
      <w:r w:rsidRPr="00B26C8A">
        <w:t>%)</w:t>
      </w:r>
      <w:r w:rsidR="0046260C" w:rsidRPr="00B26C8A">
        <w:t xml:space="preserve"> on a DOAC, 19</w:t>
      </w:r>
      <w:r w:rsidRPr="00B26C8A">
        <w:t xml:space="preserve"> (28%)</w:t>
      </w:r>
      <w:r w:rsidR="0046260C" w:rsidRPr="00B26C8A">
        <w:t xml:space="preserve"> on LWMH and 4</w:t>
      </w:r>
      <w:r w:rsidR="00273568" w:rsidRPr="00B26C8A">
        <w:t xml:space="preserve"> (6%)</w:t>
      </w:r>
      <w:r w:rsidR="0046260C" w:rsidRPr="00B26C8A">
        <w:t xml:space="preserve"> on </w:t>
      </w:r>
      <w:r w:rsidR="005E02F1" w:rsidRPr="00B26C8A">
        <w:t>w</w:t>
      </w:r>
      <w:r w:rsidR="00EB7753" w:rsidRPr="00B26C8A">
        <w:t>arfarin</w:t>
      </w:r>
      <w:r w:rsidR="00273568" w:rsidRPr="00B26C8A">
        <w:t xml:space="preserve">. </w:t>
      </w:r>
      <w:r w:rsidR="001F54DF" w:rsidRPr="00B26C8A">
        <w:t>17% (</w:t>
      </w:r>
      <w:r w:rsidR="0046260C" w:rsidRPr="00B26C8A">
        <w:t>14</w:t>
      </w:r>
      <w:r w:rsidR="001F54DF" w:rsidRPr="00B26C8A">
        <w:t>/82)</w:t>
      </w:r>
      <w:r w:rsidRPr="00B26C8A">
        <w:t xml:space="preserve"> </w:t>
      </w:r>
      <w:r w:rsidR="00273568" w:rsidRPr="00B26C8A">
        <w:t xml:space="preserve">were </w:t>
      </w:r>
      <w:r w:rsidR="00D76184" w:rsidRPr="00B26C8A">
        <w:t xml:space="preserve">started on </w:t>
      </w:r>
      <w:r w:rsidR="0046260C" w:rsidRPr="00B26C8A">
        <w:t>anticoagulation</w:t>
      </w:r>
      <w:r w:rsidR="00932180" w:rsidRPr="00B26C8A">
        <w:t xml:space="preserve"> during the admission</w:t>
      </w:r>
      <w:r w:rsidR="00273568" w:rsidRPr="00B26C8A">
        <w:t xml:space="preserve">; </w:t>
      </w:r>
      <w:r w:rsidR="0046260C" w:rsidRPr="00B26C8A">
        <w:t>12</w:t>
      </w:r>
      <w:r w:rsidR="00D76184" w:rsidRPr="00B26C8A">
        <w:t xml:space="preserve"> </w:t>
      </w:r>
      <w:r w:rsidRPr="00B26C8A">
        <w:t>(86%)</w:t>
      </w:r>
      <w:r w:rsidR="0046260C" w:rsidRPr="00B26C8A">
        <w:t xml:space="preserve"> on </w:t>
      </w:r>
      <w:r w:rsidR="00C7522C" w:rsidRPr="00B26C8A">
        <w:t>LMWH</w:t>
      </w:r>
      <w:r w:rsidR="0046260C" w:rsidRPr="00B26C8A">
        <w:t xml:space="preserve"> and 2</w:t>
      </w:r>
      <w:r w:rsidR="00273568" w:rsidRPr="00B26C8A">
        <w:t xml:space="preserve"> (14%)</w:t>
      </w:r>
      <w:r w:rsidR="0046260C" w:rsidRPr="00B26C8A">
        <w:t xml:space="preserve"> on</w:t>
      </w:r>
      <w:r w:rsidR="00C7522C" w:rsidRPr="00B26C8A">
        <w:t xml:space="preserve"> a DOAC</w:t>
      </w:r>
      <w:r w:rsidR="0046260C" w:rsidRPr="00B26C8A">
        <w:t xml:space="preserve">. </w:t>
      </w:r>
    </w:p>
    <w:p w14:paraId="4A819753" w14:textId="6889E810" w:rsidR="00067163" w:rsidRDefault="0046260C" w:rsidP="008E26BC">
      <w:r w:rsidRPr="00B26C8A">
        <w:t>Only 44% (20/45) of those admitted on a DOAC had their DOAC stopped</w:t>
      </w:r>
      <w:r w:rsidR="005779E6" w:rsidRPr="00B26C8A">
        <w:t xml:space="preserve"> or c</w:t>
      </w:r>
      <w:r w:rsidRPr="00B26C8A">
        <w:t xml:space="preserve">hanged to </w:t>
      </w:r>
      <w:r w:rsidR="00603DCF" w:rsidRPr="00B26C8A">
        <w:t>LMWH</w:t>
      </w:r>
      <w:r w:rsidRPr="00B26C8A">
        <w:t>.</w:t>
      </w:r>
      <w:r w:rsidR="00AD3F33" w:rsidRPr="00B26C8A">
        <w:t xml:space="preserve"> However, 25% (5/20) of these cases had their anticoagulation </w:t>
      </w:r>
      <w:r w:rsidR="008E26BC" w:rsidRPr="00B26C8A">
        <w:t>stopped</w:t>
      </w:r>
      <w:r w:rsidR="00AD3F33" w:rsidRPr="00B26C8A">
        <w:t xml:space="preserve"> due to clinical deterioration necessitating end of life care.</w:t>
      </w:r>
      <w:r w:rsidR="008E26BC" w:rsidRPr="00B26C8A">
        <w:t xml:space="preserve"> </w:t>
      </w:r>
      <w:r w:rsidR="00812738">
        <w:t xml:space="preserve">Only </w:t>
      </w:r>
      <w:r w:rsidR="00067163" w:rsidRPr="00B26C8A">
        <w:t xml:space="preserve">75% (3/4) of the patients admitted on warfarin had this regime stopped or switched to LMWH. </w:t>
      </w:r>
    </w:p>
    <w:p w14:paraId="767788D1" w14:textId="65F4D21E" w:rsidR="00660064" w:rsidRPr="00B26C8A" w:rsidRDefault="0046260C" w:rsidP="0046260C">
      <w:r w:rsidRPr="00B26C8A">
        <w:t>16% (13/82) of the admissions in anticoagulated patients with luminal cancers were due to a GI bleed</w:t>
      </w:r>
      <w:r w:rsidR="00D81F26" w:rsidRPr="00B26C8A">
        <w:t>.</w:t>
      </w:r>
      <w:r w:rsidRPr="00B26C8A">
        <w:t xml:space="preserve"> </w:t>
      </w:r>
      <w:r w:rsidR="008E26BC" w:rsidRPr="00B26C8A">
        <w:t>Of these, 4</w:t>
      </w:r>
      <w:r w:rsidR="00B26C8A" w:rsidRPr="00B26C8A">
        <w:t xml:space="preserve"> </w:t>
      </w:r>
      <w:r w:rsidR="008E26BC" w:rsidRPr="00B26C8A">
        <w:t>(31%) had colorectal cancer, 1 had cholangiocarcinoma and 2 patients each had gastric, oesophageal, pancreatic or small bowel cancers.</w:t>
      </w:r>
      <w:r w:rsidR="00B26C8A" w:rsidRPr="00B26C8A">
        <w:t xml:space="preserve"> </w:t>
      </w:r>
      <w:r w:rsidRPr="00B26C8A">
        <w:t xml:space="preserve">77% (10/13) of these </w:t>
      </w:r>
      <w:r w:rsidR="00E3566D" w:rsidRPr="00B26C8A">
        <w:t>cases</w:t>
      </w:r>
      <w:r w:rsidRPr="00B26C8A">
        <w:t xml:space="preserve"> were admitted on a DOAC </w:t>
      </w:r>
      <w:r w:rsidR="00B26C8A" w:rsidRPr="00B26C8A">
        <w:t>of which only</w:t>
      </w:r>
      <w:r w:rsidRPr="00B26C8A">
        <w:t xml:space="preserve"> 60% </w:t>
      </w:r>
      <w:r w:rsidR="003B476F" w:rsidRPr="00B26C8A">
        <w:t xml:space="preserve">(6/10) </w:t>
      </w:r>
      <w:r w:rsidRPr="00B26C8A">
        <w:t>had their DOAC stopped</w:t>
      </w:r>
      <w:r w:rsidR="007038D7" w:rsidRPr="00B26C8A">
        <w:t xml:space="preserve"> or </w:t>
      </w:r>
      <w:r w:rsidRPr="00B26C8A">
        <w:t>changed</w:t>
      </w:r>
      <w:r w:rsidR="007038D7" w:rsidRPr="00B26C8A">
        <w:t xml:space="preserve"> to LMWH</w:t>
      </w:r>
      <w:r w:rsidRPr="00B26C8A">
        <w:t>.</w:t>
      </w:r>
    </w:p>
    <w:p w14:paraId="13C851EC" w14:textId="7B4D1968" w:rsidR="000A205E" w:rsidRPr="00B26C8A" w:rsidRDefault="0046260C" w:rsidP="0046260C">
      <w:pPr>
        <w:rPr>
          <w:b/>
          <w:bCs/>
        </w:rPr>
      </w:pPr>
      <w:r w:rsidRPr="00B26C8A">
        <w:rPr>
          <w:b/>
          <w:bCs/>
        </w:rPr>
        <w:t>C</w:t>
      </w:r>
      <w:r w:rsidR="00D96FC7">
        <w:rPr>
          <w:b/>
          <w:bCs/>
        </w:rPr>
        <w:t>onclusions</w:t>
      </w:r>
      <w:r w:rsidRPr="00B26C8A">
        <w:rPr>
          <w:b/>
          <w:bCs/>
        </w:rPr>
        <w:t>:</w:t>
      </w:r>
    </w:p>
    <w:p w14:paraId="4AC2689B" w14:textId="5D6E56F4" w:rsidR="00070E97" w:rsidRPr="00D00D2C" w:rsidRDefault="0046260C" w:rsidP="0046260C">
      <w:r w:rsidRPr="0046260C">
        <w:t xml:space="preserve">Our audit reveals that we </w:t>
      </w:r>
      <w:r w:rsidR="000A205E">
        <w:t>are non-compliant</w:t>
      </w:r>
      <w:r w:rsidRPr="0046260C">
        <w:t xml:space="preserve"> </w:t>
      </w:r>
      <w:r w:rsidR="000A205E">
        <w:t xml:space="preserve">with </w:t>
      </w:r>
      <w:r w:rsidRPr="0046260C">
        <w:t xml:space="preserve">recommendations to </w:t>
      </w:r>
      <w:r w:rsidR="00E93FCD" w:rsidRPr="0046260C">
        <w:t>consider</w:t>
      </w:r>
      <w:r w:rsidR="00E93FCD">
        <w:t xml:space="preserve"> </w:t>
      </w:r>
      <w:r w:rsidR="00E93FCD" w:rsidRPr="0046260C">
        <w:t>LMWH</w:t>
      </w:r>
      <w:r w:rsidRPr="0046260C">
        <w:t xml:space="preserve"> as the anticoagulant of choice for patients with luminal </w:t>
      </w:r>
      <w:r w:rsidR="00EB7753">
        <w:t xml:space="preserve">GI </w:t>
      </w:r>
      <w:r w:rsidRPr="00D00D2C">
        <w:t>cancers</w:t>
      </w:r>
      <w:r w:rsidR="00812738">
        <w:t xml:space="preserve">; </w:t>
      </w:r>
      <w:r w:rsidR="00D00D2C" w:rsidRPr="00D00D2C">
        <w:t>5</w:t>
      </w:r>
      <w:r w:rsidR="00E91738">
        <w:t>6</w:t>
      </w:r>
      <w:r w:rsidR="00070E97" w:rsidRPr="00D00D2C">
        <w:t>% of</w:t>
      </w:r>
      <w:r w:rsidR="00EB7753" w:rsidRPr="00D00D2C">
        <w:t xml:space="preserve"> patients </w:t>
      </w:r>
      <w:r w:rsidR="000A205E" w:rsidRPr="00D00D2C">
        <w:t>were</w:t>
      </w:r>
      <w:r w:rsidR="00EB7753" w:rsidRPr="00D00D2C">
        <w:t xml:space="preserve"> discharged on</w:t>
      </w:r>
      <w:r w:rsidR="00070E97" w:rsidRPr="00D00D2C">
        <w:t xml:space="preserve"> their pre</w:t>
      </w:r>
      <w:r w:rsidR="000D7BC8" w:rsidRPr="00D00D2C">
        <w:t>-</w:t>
      </w:r>
      <w:r w:rsidR="00F737C2" w:rsidRPr="00D00D2C">
        <w:t xml:space="preserve">existing DOAC. Of the patients started on anticoagulation during admission, </w:t>
      </w:r>
      <w:r w:rsidR="008E26BC">
        <w:t xml:space="preserve">86% </w:t>
      </w:r>
      <w:r w:rsidR="00F737C2" w:rsidRPr="00D00D2C">
        <w:t>received LMWH</w:t>
      </w:r>
      <w:r w:rsidR="00070E97" w:rsidRPr="00D00D2C">
        <w:t>.</w:t>
      </w:r>
      <w:r w:rsidR="00BE11DC" w:rsidRPr="00D00D2C">
        <w:t xml:space="preserve"> Amongst those presenting with a GI bleed</w:t>
      </w:r>
      <w:r w:rsidR="007D0B32" w:rsidRPr="00D00D2C">
        <w:t xml:space="preserve"> when taking a DOAC</w:t>
      </w:r>
      <w:r w:rsidR="00BE11DC" w:rsidRPr="00D00D2C">
        <w:t xml:space="preserve">, 40% were discharged on the </w:t>
      </w:r>
      <w:r w:rsidR="007D0B32" w:rsidRPr="00D00D2C">
        <w:t>same regime.</w:t>
      </w:r>
    </w:p>
    <w:p w14:paraId="7F8AF2E6" w14:textId="6D0AA9E7" w:rsidR="00BD56E5" w:rsidRDefault="00536E0C">
      <w:r>
        <w:t xml:space="preserve">Since </w:t>
      </w:r>
      <w:r w:rsidR="0046260C" w:rsidRPr="0046260C">
        <w:t xml:space="preserve">VTE risk assessments and rationalisation of </w:t>
      </w:r>
      <w:r w:rsidR="005C6EEF">
        <w:t xml:space="preserve">pre-prescribed </w:t>
      </w:r>
      <w:r w:rsidR="0046260C" w:rsidRPr="0046260C">
        <w:t>medications already forms a principal standard of care for all inpatients</w:t>
      </w:r>
      <w:r>
        <w:t xml:space="preserve">, we believe that improving clinician/prescriber awareness of </w:t>
      </w:r>
      <w:r w:rsidR="00C33145">
        <w:t xml:space="preserve">these guidelines may increase </w:t>
      </w:r>
      <w:bookmarkEnd w:id="0"/>
      <w:r w:rsidR="00812738">
        <w:t>compliance</w:t>
      </w:r>
      <w:r w:rsidR="00F34E68">
        <w:t xml:space="preserve"> and avoid complications of anticoagulation.</w:t>
      </w:r>
    </w:p>
    <w:sectPr w:rsidR="00BD5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0C"/>
    <w:rsid w:val="000666C4"/>
    <w:rsid w:val="00067163"/>
    <w:rsid w:val="00070E97"/>
    <w:rsid w:val="00083664"/>
    <w:rsid w:val="000A205E"/>
    <w:rsid w:val="000C38B0"/>
    <w:rsid w:val="000C7F39"/>
    <w:rsid w:val="000D7BC8"/>
    <w:rsid w:val="000F099E"/>
    <w:rsid w:val="00116BB8"/>
    <w:rsid w:val="00122992"/>
    <w:rsid w:val="001372F0"/>
    <w:rsid w:val="0013737B"/>
    <w:rsid w:val="0016579F"/>
    <w:rsid w:val="00177EE4"/>
    <w:rsid w:val="001B6FAB"/>
    <w:rsid w:val="001D66AE"/>
    <w:rsid w:val="001E49AD"/>
    <w:rsid w:val="001E7A0B"/>
    <w:rsid w:val="001F54DF"/>
    <w:rsid w:val="001F63F2"/>
    <w:rsid w:val="00231396"/>
    <w:rsid w:val="00273568"/>
    <w:rsid w:val="002A0474"/>
    <w:rsid w:val="002B4CB9"/>
    <w:rsid w:val="002F51F1"/>
    <w:rsid w:val="00322245"/>
    <w:rsid w:val="003350EA"/>
    <w:rsid w:val="0034047B"/>
    <w:rsid w:val="003718F8"/>
    <w:rsid w:val="003736F6"/>
    <w:rsid w:val="003B086F"/>
    <w:rsid w:val="003B476F"/>
    <w:rsid w:val="003C515D"/>
    <w:rsid w:val="003C723E"/>
    <w:rsid w:val="0041793E"/>
    <w:rsid w:val="004577B1"/>
    <w:rsid w:val="0046260C"/>
    <w:rsid w:val="00493173"/>
    <w:rsid w:val="00496FC1"/>
    <w:rsid w:val="004E6F92"/>
    <w:rsid w:val="004F7B70"/>
    <w:rsid w:val="004F7F0E"/>
    <w:rsid w:val="00505E0A"/>
    <w:rsid w:val="00507962"/>
    <w:rsid w:val="0052773D"/>
    <w:rsid w:val="00536E0C"/>
    <w:rsid w:val="00576DAE"/>
    <w:rsid w:val="005779E6"/>
    <w:rsid w:val="00580279"/>
    <w:rsid w:val="00581D9E"/>
    <w:rsid w:val="005B2838"/>
    <w:rsid w:val="005C6EEF"/>
    <w:rsid w:val="005E02F1"/>
    <w:rsid w:val="00603728"/>
    <w:rsid w:val="00603DCF"/>
    <w:rsid w:val="0060700A"/>
    <w:rsid w:val="00625571"/>
    <w:rsid w:val="00641F08"/>
    <w:rsid w:val="00660064"/>
    <w:rsid w:val="00662443"/>
    <w:rsid w:val="00681CF4"/>
    <w:rsid w:val="00686BFD"/>
    <w:rsid w:val="006B780A"/>
    <w:rsid w:val="006C3948"/>
    <w:rsid w:val="007038D7"/>
    <w:rsid w:val="0071539F"/>
    <w:rsid w:val="00750BCE"/>
    <w:rsid w:val="00781B34"/>
    <w:rsid w:val="007B3BD0"/>
    <w:rsid w:val="007C7B7A"/>
    <w:rsid w:val="007C7FAB"/>
    <w:rsid w:val="007D0B32"/>
    <w:rsid w:val="00812738"/>
    <w:rsid w:val="0083030F"/>
    <w:rsid w:val="0089305C"/>
    <w:rsid w:val="008A4614"/>
    <w:rsid w:val="008D356C"/>
    <w:rsid w:val="008D658E"/>
    <w:rsid w:val="008E08AD"/>
    <w:rsid w:val="008E26BC"/>
    <w:rsid w:val="0090129E"/>
    <w:rsid w:val="00932180"/>
    <w:rsid w:val="0097378C"/>
    <w:rsid w:val="00976DD4"/>
    <w:rsid w:val="009A5A66"/>
    <w:rsid w:val="009C1FA7"/>
    <w:rsid w:val="009C6056"/>
    <w:rsid w:val="009E5DF3"/>
    <w:rsid w:val="009E611B"/>
    <w:rsid w:val="009F05A4"/>
    <w:rsid w:val="00A05880"/>
    <w:rsid w:val="00A1618F"/>
    <w:rsid w:val="00A17F9E"/>
    <w:rsid w:val="00A21780"/>
    <w:rsid w:val="00A44C9E"/>
    <w:rsid w:val="00A71E71"/>
    <w:rsid w:val="00A9516B"/>
    <w:rsid w:val="00AA5FDA"/>
    <w:rsid w:val="00AD3F33"/>
    <w:rsid w:val="00B168C9"/>
    <w:rsid w:val="00B2516E"/>
    <w:rsid w:val="00B26C8A"/>
    <w:rsid w:val="00B26FB5"/>
    <w:rsid w:val="00B44869"/>
    <w:rsid w:val="00B500B5"/>
    <w:rsid w:val="00BC5C18"/>
    <w:rsid w:val="00BD56E5"/>
    <w:rsid w:val="00BD6324"/>
    <w:rsid w:val="00BE11DC"/>
    <w:rsid w:val="00BE146D"/>
    <w:rsid w:val="00BE2D61"/>
    <w:rsid w:val="00C04FED"/>
    <w:rsid w:val="00C33145"/>
    <w:rsid w:val="00C51FAE"/>
    <w:rsid w:val="00C7522C"/>
    <w:rsid w:val="00C7563C"/>
    <w:rsid w:val="00C94368"/>
    <w:rsid w:val="00CA0E11"/>
    <w:rsid w:val="00CC469A"/>
    <w:rsid w:val="00CE0A39"/>
    <w:rsid w:val="00D00D2C"/>
    <w:rsid w:val="00D02994"/>
    <w:rsid w:val="00D02DDC"/>
    <w:rsid w:val="00D352BD"/>
    <w:rsid w:val="00D508CA"/>
    <w:rsid w:val="00D62484"/>
    <w:rsid w:val="00D76184"/>
    <w:rsid w:val="00D81F26"/>
    <w:rsid w:val="00D938B4"/>
    <w:rsid w:val="00D96FC7"/>
    <w:rsid w:val="00DC0155"/>
    <w:rsid w:val="00DC0810"/>
    <w:rsid w:val="00DD104F"/>
    <w:rsid w:val="00E04FBB"/>
    <w:rsid w:val="00E05195"/>
    <w:rsid w:val="00E13146"/>
    <w:rsid w:val="00E323E3"/>
    <w:rsid w:val="00E3566D"/>
    <w:rsid w:val="00E6293F"/>
    <w:rsid w:val="00E6619A"/>
    <w:rsid w:val="00E81C2D"/>
    <w:rsid w:val="00E91738"/>
    <w:rsid w:val="00E917F3"/>
    <w:rsid w:val="00E93FCD"/>
    <w:rsid w:val="00E94C5B"/>
    <w:rsid w:val="00EB2EA0"/>
    <w:rsid w:val="00EB7753"/>
    <w:rsid w:val="00EC6763"/>
    <w:rsid w:val="00F34E68"/>
    <w:rsid w:val="00F36EED"/>
    <w:rsid w:val="00F450AB"/>
    <w:rsid w:val="00F56D8C"/>
    <w:rsid w:val="00F737C2"/>
    <w:rsid w:val="00F87C5C"/>
    <w:rsid w:val="00FA1A45"/>
    <w:rsid w:val="00FD45F4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6A3F"/>
  <w15:chartTrackingRefBased/>
  <w15:docId w15:val="{DCF4569F-6A52-478B-986F-613DCEFD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0606AAC24C4BB39CD917748087AC" ma:contentTypeVersion="19" ma:contentTypeDescription="Create a new document." ma:contentTypeScope="" ma:versionID="118a572c703415b812a27fd7dd4b18fd">
  <xsd:schema xmlns:xsd="http://www.w3.org/2001/XMLSchema" xmlns:xs="http://www.w3.org/2001/XMLSchema" xmlns:p="http://schemas.microsoft.com/office/2006/metadata/properties" xmlns:ns2="eec3f55b-a9b2-4102-a16c-8ff48ca4bb68" xmlns:ns3="cb2ae47a-b3ea-43a8-a652-f5d4c51bf437" xmlns:ns4="4e4aa9c8-e249-4689-a79c-5668e8fb8004" targetNamespace="http://schemas.microsoft.com/office/2006/metadata/properties" ma:root="true" ma:fieldsID="06eed124841ef3ad91c6dc586c2aa2d1" ns2:_="" ns3:_="" ns4:_="">
    <xsd:import namespace="eec3f55b-a9b2-4102-a16c-8ff48ca4bb68"/>
    <xsd:import namespace="cb2ae47a-b3ea-43a8-a652-f5d4c51bf437"/>
    <xsd:import namespace="4e4aa9c8-e249-4689-a79c-5668e8fb8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55b-a9b2-4102-a16c-8ff48ca4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ed0326-c9f1-4b81-a75c-020ae735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e47a-b3ea-43a8-a652-f5d4c51bf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9c8-e249-4689-a79c-5668e8fb80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c4a6cd-2da3-4875-b1f0-367a1f43dd01}" ma:internalName="TaxCatchAll" ma:showField="CatchAllData" ma:web="4e4aa9c8-e249-4689-a79c-5668e8fb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aa9c8-e249-4689-a79c-5668e8fb8004" xsi:nil="true"/>
    <lcf76f155ced4ddcb4097134ff3c332f xmlns="eec3f55b-a9b2-4102-a16c-8ff48ca4b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ED1629-5C2D-4C5A-AB0A-C25D8BE29464}"/>
</file>

<file path=customXml/itemProps2.xml><?xml version="1.0" encoding="utf-8"?>
<ds:datastoreItem xmlns:ds="http://schemas.openxmlformats.org/officeDocument/2006/customXml" ds:itemID="{BD9953EA-B891-45C5-B37E-C553B9114F3F}"/>
</file>

<file path=customXml/itemProps3.xml><?xml version="1.0" encoding="utf-8"?>
<ds:datastoreItem xmlns:ds="http://schemas.openxmlformats.org/officeDocument/2006/customXml" ds:itemID="{939A481F-D38A-4522-885B-B113B523D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Deb</dc:creator>
  <cp:keywords/>
  <dc:description/>
  <cp:lastModifiedBy>Rita Deb</cp:lastModifiedBy>
  <cp:revision>4</cp:revision>
  <dcterms:created xsi:type="dcterms:W3CDTF">2025-01-23T05:18:00Z</dcterms:created>
  <dcterms:modified xsi:type="dcterms:W3CDTF">2025-01-23T05:38:00Z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0x010100499D0606AAC24C4BB39CD917748087AC</vt:lpwstr>
  </property>
</Properties>
</file>