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190F9" w14:textId="423BC481" w:rsidR="007A498F" w:rsidRDefault="00B00149" w:rsidP="00C66D0A">
      <w:pPr>
        <w:rPr>
          <w:rFonts w:ascii="Arial" w:hAnsi="Arial" w:cs="Arial"/>
        </w:rPr>
      </w:pPr>
      <w:r>
        <w:rPr>
          <w:rFonts w:ascii="Arial" w:hAnsi="Arial" w:cs="Arial"/>
          <w:b/>
        </w:rPr>
        <w:t>Introduction</w:t>
      </w:r>
      <w:r w:rsidR="00C66D0A">
        <w:rPr>
          <w:rFonts w:ascii="Arial" w:hAnsi="Arial" w:cs="Arial"/>
          <w:b/>
        </w:rPr>
        <w:t>:</w:t>
      </w:r>
      <w:r w:rsidR="00C66D0A">
        <w:rPr>
          <w:rFonts w:ascii="Arial" w:hAnsi="Arial" w:cs="Arial"/>
        </w:rPr>
        <w:t xml:space="preserve"> </w:t>
      </w:r>
    </w:p>
    <w:p w14:paraId="0AA631D0" w14:textId="609ECF1D" w:rsidR="00365A6A" w:rsidRPr="00441329" w:rsidRDefault="00365A6A" w:rsidP="00437306">
      <w:r w:rsidRPr="00441329">
        <w:t>C</w:t>
      </w:r>
      <w:r>
        <w:t>o</w:t>
      </w:r>
      <w:r w:rsidRPr="00441329">
        <w:t>eliac disease affect</w:t>
      </w:r>
      <w:r w:rsidR="002130EC">
        <w:t>s</w:t>
      </w:r>
      <w:r w:rsidRPr="00441329">
        <w:t xml:space="preserve"> 1% of the population in the United Kingdom (U.K</w:t>
      </w:r>
      <w:r w:rsidR="007C4B34">
        <w:t>.</w:t>
      </w:r>
      <w:r w:rsidRPr="00441329">
        <w:t>) but</w:t>
      </w:r>
      <w:r w:rsidR="009448A1">
        <w:t xml:space="preserve"> is</w:t>
      </w:r>
      <w:r w:rsidRPr="00441329">
        <w:t xml:space="preserve"> often under-diagnosed</w:t>
      </w:r>
      <w:r w:rsidR="00437306">
        <w:t xml:space="preserve"> (West </w:t>
      </w:r>
      <w:r w:rsidR="00437306" w:rsidRPr="00437306">
        <w:rPr>
          <w:i/>
          <w:iCs/>
        </w:rPr>
        <w:t>et al</w:t>
      </w:r>
      <w:r w:rsidR="00437306">
        <w:rPr>
          <w:i/>
          <w:iCs/>
        </w:rPr>
        <w:t>.</w:t>
      </w:r>
      <w:r w:rsidR="00437306">
        <w:t>, 2003)</w:t>
      </w:r>
      <w:r w:rsidRPr="00441329">
        <w:t>.</w:t>
      </w:r>
      <w:r w:rsidR="00437306">
        <w:t xml:space="preserve"> </w:t>
      </w:r>
      <w:r w:rsidR="002130EC">
        <w:t xml:space="preserve">Complications </w:t>
      </w:r>
      <w:r w:rsidR="00437306">
        <w:t>of coeliac disease</w:t>
      </w:r>
      <w:r>
        <w:t xml:space="preserve"> </w:t>
      </w:r>
      <w:r w:rsidR="002130EC">
        <w:t xml:space="preserve">include </w:t>
      </w:r>
      <w:r w:rsidRPr="00441329">
        <w:t>detrimental effects on bone health</w:t>
      </w:r>
      <w:r>
        <w:t xml:space="preserve"> and increased fracture risk</w:t>
      </w:r>
      <w:r w:rsidR="00437306">
        <w:t xml:space="preserve"> (</w:t>
      </w:r>
      <w:r w:rsidR="00437306" w:rsidRPr="00441329">
        <w:t>Heikkilä</w:t>
      </w:r>
      <w:r w:rsidR="00437306">
        <w:t xml:space="preserve"> </w:t>
      </w:r>
      <w:r w:rsidR="00437306" w:rsidRPr="00437306">
        <w:rPr>
          <w:i/>
          <w:iCs/>
        </w:rPr>
        <w:t>et al</w:t>
      </w:r>
      <w:r w:rsidR="00437306">
        <w:t>., 2015)</w:t>
      </w:r>
      <w:r w:rsidRPr="00441329">
        <w:t>.</w:t>
      </w:r>
      <w:r w:rsidR="00437306">
        <w:t xml:space="preserve"> </w:t>
      </w:r>
      <w:r w:rsidR="009448A1">
        <w:t>Currently</w:t>
      </w:r>
      <w:r w:rsidR="00437306">
        <w:t xml:space="preserve">, evidence </w:t>
      </w:r>
      <w:r w:rsidR="00CC7A81">
        <w:t>supporting</w:t>
      </w:r>
      <w:r w:rsidR="007C4B34">
        <w:t xml:space="preserve"> </w:t>
      </w:r>
      <w:r w:rsidR="00437306">
        <w:t>r</w:t>
      </w:r>
      <w:r w:rsidRPr="00441329">
        <w:t>outine serological testing for c</w:t>
      </w:r>
      <w:r>
        <w:t>o</w:t>
      </w:r>
      <w:r w:rsidRPr="00441329">
        <w:t>eliac disease in adults with fractures</w:t>
      </w:r>
      <w:r w:rsidR="009448A1">
        <w:t xml:space="preserve"> is limited</w:t>
      </w:r>
      <w:r w:rsidR="00437306">
        <w:t>.</w:t>
      </w:r>
    </w:p>
    <w:p w14:paraId="7FA65528" w14:textId="77777777" w:rsidR="007A498F" w:rsidRDefault="00B00149" w:rsidP="00C66D0A">
      <w:pPr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Methods</w:t>
      </w:r>
      <w:r w:rsidR="00C66D0A" w:rsidRPr="00871642">
        <w:rPr>
          <w:rStyle w:val="Strong"/>
          <w:rFonts w:ascii="Arial" w:hAnsi="Arial" w:cs="Arial"/>
          <w:color w:val="000000"/>
        </w:rPr>
        <w:t>:</w:t>
      </w:r>
    </w:p>
    <w:p w14:paraId="511A39C4" w14:textId="20C732FA" w:rsidR="00365A6A" w:rsidRPr="00441329" w:rsidRDefault="002130EC" w:rsidP="00437306">
      <w:pPr>
        <w:rPr>
          <w:lang w:eastAsia="en-GB"/>
        </w:rPr>
      </w:pPr>
      <w:r>
        <w:t>This</w:t>
      </w:r>
      <w:r w:rsidR="00365A6A" w:rsidRPr="00441329">
        <w:t xml:space="preserve"> cross-sectional observational study </w:t>
      </w:r>
      <w:r w:rsidR="00365A6A">
        <w:t xml:space="preserve">was performed </w:t>
      </w:r>
      <w:r w:rsidR="00365A6A" w:rsidRPr="00441329">
        <w:t>at a single</w:t>
      </w:r>
      <w:r w:rsidR="007C4B34">
        <w:t xml:space="preserve"> U.K.</w:t>
      </w:r>
      <w:r w:rsidR="00365A6A" w:rsidRPr="00441329">
        <w:t xml:space="preserve"> fracture clinic</w:t>
      </w:r>
      <w:r w:rsidR="00365A6A">
        <w:t xml:space="preserve"> with</w:t>
      </w:r>
      <w:r w:rsidR="00365A6A" w:rsidRPr="00441329">
        <w:t xml:space="preserve"> 800 adults (≥16 years) with</w:t>
      </w:r>
      <w:r w:rsidR="00365A6A">
        <w:t xml:space="preserve"> a</w:t>
      </w:r>
      <w:r w:rsidR="00365A6A" w:rsidRPr="00441329">
        <w:t xml:space="preserve"> fracture</w:t>
      </w:r>
      <w:r w:rsidR="00365A6A">
        <w:t xml:space="preserve"> recruited </w:t>
      </w:r>
      <w:r w:rsidR="00CC7A81">
        <w:t>between</w:t>
      </w:r>
      <w:r w:rsidR="00365A6A">
        <w:t xml:space="preserve"> April 2023</w:t>
      </w:r>
      <w:r w:rsidR="00CC7A81">
        <w:t xml:space="preserve"> and</w:t>
      </w:r>
      <w:r w:rsidR="00365A6A">
        <w:t xml:space="preserve"> September 2024.</w:t>
      </w:r>
      <w:r w:rsidR="00437306">
        <w:t xml:space="preserve"> </w:t>
      </w:r>
      <w:r w:rsidR="00365A6A" w:rsidRPr="00CE2120">
        <w:rPr>
          <w:lang w:eastAsia="en-GB"/>
        </w:rPr>
        <w:t xml:space="preserve">Patients under 16 or unable to provide consent were excluded. </w:t>
      </w:r>
      <w:r w:rsidR="00CC7A81">
        <w:rPr>
          <w:lang w:eastAsia="en-GB"/>
        </w:rPr>
        <w:t>Patients with known coeliac disease</w:t>
      </w:r>
      <w:r w:rsidR="00365A6A" w:rsidRPr="00CE2120">
        <w:rPr>
          <w:lang w:eastAsia="en-GB"/>
        </w:rPr>
        <w:t xml:space="preserve"> were included.</w:t>
      </w:r>
      <w:r w:rsidR="00437306">
        <w:t xml:space="preserve"> </w:t>
      </w:r>
      <w:r w:rsidR="00365A6A" w:rsidRPr="00626E3F">
        <w:rPr>
          <w:lang w:eastAsia="en-GB"/>
        </w:rPr>
        <w:t xml:space="preserve">Demographic data (age, gender, ethnicity) and fracture </w:t>
      </w:r>
      <w:r w:rsidR="00437306">
        <w:rPr>
          <w:lang w:eastAsia="en-GB"/>
        </w:rPr>
        <w:t>site</w:t>
      </w:r>
      <w:r w:rsidR="00CC7A81">
        <w:rPr>
          <w:lang w:eastAsia="en-GB"/>
        </w:rPr>
        <w:t>s</w:t>
      </w:r>
      <w:r w:rsidR="00365A6A" w:rsidRPr="00626E3F">
        <w:rPr>
          <w:lang w:eastAsia="en-GB"/>
        </w:rPr>
        <w:t xml:space="preserve"> were recorded</w:t>
      </w:r>
      <w:r>
        <w:rPr>
          <w:lang w:eastAsia="en-GB"/>
        </w:rPr>
        <w:t>.</w:t>
      </w:r>
      <w:r w:rsidR="00365A6A" w:rsidRPr="00626E3F">
        <w:rPr>
          <w:lang w:eastAsia="en-GB"/>
        </w:rPr>
        <w:t xml:space="preserve"> </w:t>
      </w:r>
      <w:r>
        <w:rPr>
          <w:lang w:eastAsia="en-GB"/>
        </w:rPr>
        <w:t>A</w:t>
      </w:r>
      <w:r w:rsidR="00365A6A" w:rsidRPr="00626E3F">
        <w:rPr>
          <w:lang w:eastAsia="en-GB"/>
        </w:rPr>
        <w:t>nti-tissue transglutaminase antibody (</w:t>
      </w:r>
      <w:proofErr w:type="spellStart"/>
      <w:r w:rsidR="00365A6A" w:rsidRPr="00626E3F">
        <w:rPr>
          <w:lang w:eastAsia="en-GB"/>
        </w:rPr>
        <w:t>tTG</w:t>
      </w:r>
      <w:proofErr w:type="spellEnd"/>
      <w:r w:rsidR="00365A6A" w:rsidRPr="00626E3F">
        <w:rPr>
          <w:lang w:eastAsia="en-GB"/>
        </w:rPr>
        <w:t>-IgA) tests were performed</w:t>
      </w:r>
      <w:r w:rsidR="00437306">
        <w:rPr>
          <w:lang w:eastAsia="en-GB"/>
        </w:rPr>
        <w:t xml:space="preserve"> unless known to have coeliac disease</w:t>
      </w:r>
      <w:r w:rsidR="00365A6A" w:rsidRPr="00626E3F">
        <w:rPr>
          <w:lang w:eastAsia="en-GB"/>
        </w:rPr>
        <w:t>.</w:t>
      </w:r>
      <w:r w:rsidR="00437306">
        <w:t xml:space="preserve"> </w:t>
      </w:r>
      <w:r w:rsidR="00437306">
        <w:rPr>
          <w:lang w:eastAsia="en-GB"/>
        </w:rPr>
        <w:t xml:space="preserve">Equivocal </w:t>
      </w:r>
      <w:proofErr w:type="spellStart"/>
      <w:r>
        <w:rPr>
          <w:lang w:eastAsia="en-GB"/>
        </w:rPr>
        <w:t>tTG</w:t>
      </w:r>
      <w:proofErr w:type="spellEnd"/>
      <w:r>
        <w:rPr>
          <w:lang w:eastAsia="en-GB"/>
        </w:rPr>
        <w:t>-IgA</w:t>
      </w:r>
      <w:r w:rsidR="00437306">
        <w:rPr>
          <w:lang w:eastAsia="en-GB"/>
        </w:rPr>
        <w:t xml:space="preserve"> results were </w:t>
      </w:r>
      <w:r>
        <w:rPr>
          <w:lang w:eastAsia="en-GB"/>
        </w:rPr>
        <w:t>reviewed by</w:t>
      </w:r>
      <w:r w:rsidR="00437306">
        <w:rPr>
          <w:lang w:eastAsia="en-GB"/>
        </w:rPr>
        <w:t xml:space="preserve"> a gastroenterologist, and repeat testing was conducted if </w:t>
      </w:r>
      <w:r>
        <w:rPr>
          <w:lang w:eastAsia="en-GB"/>
        </w:rPr>
        <w:t>needed</w:t>
      </w:r>
      <w:r w:rsidR="00437306">
        <w:rPr>
          <w:lang w:eastAsia="en-GB"/>
        </w:rPr>
        <w:t xml:space="preserve">. </w:t>
      </w:r>
      <w:r w:rsidR="00365A6A" w:rsidRPr="00DA0323">
        <w:rPr>
          <w:lang w:eastAsia="en-GB"/>
        </w:rPr>
        <w:t>Seropositive participants were invited for biopsy</w:t>
      </w:r>
      <w:r w:rsidR="00437306">
        <w:rPr>
          <w:lang w:eastAsia="en-GB"/>
        </w:rPr>
        <w:t xml:space="preserve">. </w:t>
      </w:r>
      <w:r>
        <w:rPr>
          <w:lang w:eastAsia="en-GB"/>
        </w:rPr>
        <w:t>L</w:t>
      </w:r>
      <w:r w:rsidR="00365A6A" w:rsidRPr="00735921">
        <w:rPr>
          <w:lang w:eastAsia="en-GB"/>
        </w:rPr>
        <w:t>aboratory processing issue</w:t>
      </w:r>
      <w:r w:rsidR="00406426">
        <w:rPr>
          <w:lang w:eastAsia="en-GB"/>
        </w:rPr>
        <w:t xml:space="preserve">s </w:t>
      </w:r>
      <w:r w:rsidR="00365A6A">
        <w:rPr>
          <w:lang w:eastAsia="en-GB"/>
        </w:rPr>
        <w:t xml:space="preserve">were </w:t>
      </w:r>
      <w:r>
        <w:rPr>
          <w:lang w:eastAsia="en-GB"/>
        </w:rPr>
        <w:t>treated as</w:t>
      </w:r>
      <w:r w:rsidR="00365A6A" w:rsidRPr="00735921">
        <w:rPr>
          <w:lang w:eastAsia="en-GB"/>
        </w:rPr>
        <w:t xml:space="preserve"> negative</w:t>
      </w:r>
      <w:r w:rsidR="00CC7A81">
        <w:rPr>
          <w:lang w:eastAsia="en-GB"/>
        </w:rPr>
        <w:t xml:space="preserve"> results</w:t>
      </w:r>
      <w:r w:rsidR="00365A6A">
        <w:rPr>
          <w:lang w:eastAsia="en-GB"/>
        </w:rPr>
        <w:t>.</w:t>
      </w:r>
      <w:r w:rsidR="00437306">
        <w:t xml:space="preserve"> </w:t>
      </w:r>
      <w:r w:rsidR="00365A6A" w:rsidRPr="00626E3F">
        <w:rPr>
          <w:lang w:eastAsia="en-GB"/>
        </w:rPr>
        <w:t xml:space="preserve">Statistical analyses included </w:t>
      </w:r>
      <w:r w:rsidR="00406426" w:rsidRPr="00626E3F">
        <w:rPr>
          <w:lang w:eastAsia="en-GB"/>
        </w:rPr>
        <w:t xml:space="preserve">descriptive demographic analyses </w:t>
      </w:r>
      <w:r w:rsidR="00406426">
        <w:rPr>
          <w:lang w:eastAsia="en-GB"/>
        </w:rPr>
        <w:t xml:space="preserve">and </w:t>
      </w:r>
      <w:r w:rsidR="00365A6A" w:rsidRPr="00626E3F">
        <w:rPr>
          <w:lang w:eastAsia="en-GB"/>
        </w:rPr>
        <w:t>prevalence calculation</w:t>
      </w:r>
      <w:r w:rsidR="00406426">
        <w:rPr>
          <w:lang w:eastAsia="en-GB"/>
        </w:rPr>
        <w:t>s</w:t>
      </w:r>
      <w:r w:rsidR="00365A6A" w:rsidRPr="00626E3F">
        <w:rPr>
          <w:lang w:eastAsia="en-GB"/>
        </w:rPr>
        <w:t>.</w:t>
      </w:r>
    </w:p>
    <w:p w14:paraId="2B79BA4E" w14:textId="2957D0F7" w:rsidR="00C66D0A" w:rsidRDefault="00C66D0A" w:rsidP="00C66D0A">
      <w:pPr>
        <w:rPr>
          <w:rFonts w:ascii="Arial" w:hAnsi="Arial" w:cs="Arial"/>
          <w:color w:val="000000"/>
        </w:rPr>
      </w:pPr>
      <w:r w:rsidRPr="00871642">
        <w:rPr>
          <w:rStyle w:val="Strong"/>
          <w:rFonts w:ascii="Arial" w:hAnsi="Arial" w:cs="Arial"/>
          <w:color w:val="000000"/>
        </w:rPr>
        <w:t>Results:</w:t>
      </w:r>
      <w:r w:rsidRPr="00871642">
        <w:rPr>
          <w:rFonts w:ascii="Arial" w:hAnsi="Arial" w:cs="Arial"/>
          <w:color w:val="000000"/>
        </w:rPr>
        <w:t> </w:t>
      </w:r>
    </w:p>
    <w:p w14:paraId="5FE321B3" w14:textId="3DBB721D" w:rsidR="00365A6A" w:rsidRPr="009448A1" w:rsidRDefault="00437306" w:rsidP="00365A6A">
      <w:pPr>
        <w:rPr>
          <w:lang w:eastAsia="en-GB"/>
        </w:rPr>
      </w:pPr>
      <w:r>
        <w:t>Baseline characteristics</w:t>
      </w:r>
      <w:r w:rsidR="009448A1">
        <w:t xml:space="preserve"> of the study and coeliac populations</w:t>
      </w:r>
      <w:r>
        <w:t xml:space="preserve"> are </w:t>
      </w:r>
      <w:r w:rsidR="009448A1">
        <w:t>shown</w:t>
      </w:r>
      <w:r>
        <w:t xml:space="preserve"> in Table 1.</w:t>
      </w:r>
      <w:r w:rsidR="00365A6A" w:rsidRPr="00626E3F">
        <w:rPr>
          <w:lang w:eastAsia="en-GB"/>
        </w:rPr>
        <w:t xml:space="preserve"> 783 participants underwent </w:t>
      </w:r>
      <w:proofErr w:type="spellStart"/>
      <w:r w:rsidR="00365A6A" w:rsidRPr="00626E3F">
        <w:rPr>
          <w:lang w:eastAsia="en-GB"/>
        </w:rPr>
        <w:t>tTG</w:t>
      </w:r>
      <w:proofErr w:type="spellEnd"/>
      <w:r w:rsidR="00365A6A" w:rsidRPr="00626E3F">
        <w:rPr>
          <w:lang w:eastAsia="en-GB"/>
        </w:rPr>
        <w:t>-IgA testing</w:t>
      </w:r>
      <w:r w:rsidR="00CC7A81">
        <w:rPr>
          <w:lang w:eastAsia="en-GB"/>
        </w:rPr>
        <w:t>,</w:t>
      </w:r>
      <w:r w:rsidR="009448A1">
        <w:rPr>
          <w:lang w:eastAsia="en-GB"/>
        </w:rPr>
        <w:t xml:space="preserve"> with</w:t>
      </w:r>
      <w:r w:rsidR="003F546E">
        <w:rPr>
          <w:lang w:eastAsia="en-GB"/>
        </w:rPr>
        <w:t xml:space="preserve"> </w:t>
      </w:r>
      <w:r w:rsidR="00406426">
        <w:rPr>
          <w:lang w:eastAsia="en-GB"/>
        </w:rPr>
        <w:t>4</w:t>
      </w:r>
      <w:r w:rsidR="00365A6A" w:rsidRPr="00626E3F">
        <w:rPr>
          <w:lang w:eastAsia="en-GB"/>
        </w:rPr>
        <w:t xml:space="preserve"> participants </w:t>
      </w:r>
      <w:r w:rsidR="007C4B34">
        <w:rPr>
          <w:lang w:eastAsia="en-GB"/>
        </w:rPr>
        <w:t>testing</w:t>
      </w:r>
      <w:r w:rsidR="00365A6A" w:rsidRPr="00626E3F">
        <w:rPr>
          <w:lang w:eastAsia="en-GB"/>
        </w:rPr>
        <w:t xml:space="preserve"> positive, </w:t>
      </w:r>
      <w:r w:rsidR="009448A1">
        <w:rPr>
          <w:lang w:eastAsia="en-GB"/>
        </w:rPr>
        <w:t>and</w:t>
      </w:r>
      <w:r w:rsidR="00CC7A81">
        <w:rPr>
          <w:lang w:eastAsia="en-GB"/>
        </w:rPr>
        <w:t xml:space="preserve"> therefore</w:t>
      </w:r>
      <w:r w:rsidR="00365A6A" w:rsidRPr="00626E3F">
        <w:rPr>
          <w:lang w:eastAsia="en-GB"/>
        </w:rPr>
        <w:t xml:space="preserve"> a seroprevalence of 0.5%.</w:t>
      </w:r>
      <w:r>
        <w:rPr>
          <w:lang w:eastAsia="en-GB"/>
        </w:rPr>
        <w:t xml:space="preserve"> </w:t>
      </w:r>
      <w:r w:rsidR="009448A1">
        <w:rPr>
          <w:lang w:eastAsia="en-GB"/>
        </w:rPr>
        <w:t>B</w:t>
      </w:r>
      <w:r w:rsidR="00365A6A" w:rsidRPr="00626E3F">
        <w:rPr>
          <w:lang w:eastAsia="en-GB"/>
        </w:rPr>
        <w:t>iopsy</w:t>
      </w:r>
      <w:r w:rsidR="009448A1">
        <w:rPr>
          <w:lang w:eastAsia="en-GB"/>
        </w:rPr>
        <w:t xml:space="preserve"> </w:t>
      </w:r>
      <w:r w:rsidR="00365A6A" w:rsidRPr="00626E3F">
        <w:rPr>
          <w:lang w:eastAsia="en-GB"/>
        </w:rPr>
        <w:t>confirmed c</w:t>
      </w:r>
      <w:r w:rsidR="00365A6A">
        <w:rPr>
          <w:lang w:eastAsia="en-GB"/>
        </w:rPr>
        <w:t>o</w:t>
      </w:r>
      <w:r w:rsidR="00365A6A" w:rsidRPr="00626E3F">
        <w:rPr>
          <w:lang w:eastAsia="en-GB"/>
        </w:rPr>
        <w:t xml:space="preserve">eliac disease </w:t>
      </w:r>
      <w:r w:rsidR="00CC7A81">
        <w:rPr>
          <w:lang w:eastAsia="en-GB"/>
        </w:rPr>
        <w:t>in</w:t>
      </w:r>
      <w:r w:rsidR="009448A1">
        <w:rPr>
          <w:lang w:eastAsia="en-GB"/>
        </w:rPr>
        <w:t xml:space="preserve"> 2 </w:t>
      </w:r>
      <w:r w:rsidR="00A70AD0">
        <w:rPr>
          <w:lang w:eastAsia="en-GB"/>
        </w:rPr>
        <w:t>participants</w:t>
      </w:r>
      <w:r w:rsidR="009448A1">
        <w:rPr>
          <w:lang w:eastAsia="en-GB"/>
        </w:rPr>
        <w:t xml:space="preserve"> </w:t>
      </w:r>
      <w:r w:rsidR="00365A6A" w:rsidRPr="00626E3F">
        <w:rPr>
          <w:lang w:eastAsia="en-GB"/>
        </w:rPr>
        <w:t xml:space="preserve">(0.25%), </w:t>
      </w:r>
      <w:r w:rsidR="003F546E">
        <w:rPr>
          <w:lang w:eastAsia="en-GB"/>
        </w:rPr>
        <w:t>1</w:t>
      </w:r>
      <w:r w:rsidR="00365A6A" w:rsidRPr="00626E3F">
        <w:rPr>
          <w:lang w:eastAsia="en-GB"/>
        </w:rPr>
        <w:t xml:space="preserve"> did not attend biopsy, and </w:t>
      </w:r>
      <w:r w:rsidR="003F546E">
        <w:rPr>
          <w:lang w:eastAsia="en-GB"/>
        </w:rPr>
        <w:t>1</w:t>
      </w:r>
      <w:r w:rsidR="00365A6A" w:rsidRPr="00626E3F">
        <w:rPr>
          <w:lang w:eastAsia="en-GB"/>
        </w:rPr>
        <w:t xml:space="preserve"> was biopsy</w:t>
      </w:r>
      <w:r w:rsidR="009448A1">
        <w:rPr>
          <w:lang w:eastAsia="en-GB"/>
        </w:rPr>
        <w:t xml:space="preserve"> </w:t>
      </w:r>
      <w:r w:rsidR="00365A6A" w:rsidRPr="00626E3F">
        <w:rPr>
          <w:lang w:eastAsia="en-GB"/>
        </w:rPr>
        <w:t>negative.</w:t>
      </w:r>
      <w:r>
        <w:rPr>
          <w:lang w:eastAsia="en-GB"/>
        </w:rPr>
        <w:t xml:space="preserve"> </w:t>
      </w:r>
      <w:r w:rsidR="003F546E">
        <w:rPr>
          <w:lang w:eastAsia="en-GB"/>
        </w:rPr>
        <w:t>19 participants were treated as having negative result</w:t>
      </w:r>
      <w:r w:rsidR="00CC7A81">
        <w:rPr>
          <w:lang w:eastAsia="en-GB"/>
        </w:rPr>
        <w:t xml:space="preserve">s, </w:t>
      </w:r>
      <w:r w:rsidR="003F546E">
        <w:rPr>
          <w:lang w:eastAsia="en-GB"/>
        </w:rPr>
        <w:t>including u</w:t>
      </w:r>
      <w:r w:rsidR="00365A6A" w:rsidRPr="00CA7C9A">
        <w:t>ntested</w:t>
      </w:r>
      <w:r w:rsidR="003F546E">
        <w:t xml:space="preserve"> samples (n=11)</w:t>
      </w:r>
      <w:r w:rsidR="00365A6A" w:rsidRPr="00CA7C9A">
        <w:t>, equivocal results</w:t>
      </w:r>
      <w:r w:rsidR="003F546E">
        <w:t xml:space="preserve"> (n=3)</w:t>
      </w:r>
      <w:r w:rsidR="00365A6A" w:rsidRPr="00CA7C9A">
        <w:t>, and</w:t>
      </w:r>
      <w:r w:rsidR="003F546E">
        <w:t xml:space="preserve"> known coeliac disease (n=5)</w:t>
      </w:r>
      <w:r w:rsidR="00365A6A" w:rsidRPr="00CA7C9A">
        <w:t>.</w:t>
      </w:r>
      <w:r>
        <w:rPr>
          <w:lang w:eastAsia="en-GB"/>
        </w:rPr>
        <w:t xml:space="preserve"> </w:t>
      </w:r>
      <w:r w:rsidR="00365A6A">
        <w:t>The coeliac population w</w:t>
      </w:r>
      <w:r w:rsidR="009448A1">
        <w:t>as</w:t>
      </w:r>
      <w:r w:rsidR="00365A6A">
        <w:t xml:space="preserve"> predominantly white, and u</w:t>
      </w:r>
      <w:r w:rsidR="00365A6A" w:rsidRPr="00DA0323">
        <w:t>pper limb fractures were most common, aligning with prior studies</w:t>
      </w:r>
      <w:r w:rsidR="00426D74">
        <w:t xml:space="preserve"> (Thomson </w:t>
      </w:r>
      <w:r w:rsidR="00426D74" w:rsidRPr="00426D74">
        <w:rPr>
          <w:i/>
          <w:iCs/>
        </w:rPr>
        <w:t>et al.</w:t>
      </w:r>
      <w:r w:rsidR="00426D74">
        <w:t xml:space="preserve">, 2003; Mardini </w:t>
      </w:r>
      <w:r w:rsidR="00426D74">
        <w:rPr>
          <w:i/>
          <w:iCs/>
        </w:rPr>
        <w:t>et al.,</w:t>
      </w:r>
      <w:r w:rsidR="002130EC">
        <w:rPr>
          <w:i/>
          <w:iCs/>
        </w:rPr>
        <w:t xml:space="preserve"> </w:t>
      </w:r>
      <w:r w:rsidR="002130EC">
        <w:t>2015</w:t>
      </w:r>
      <w:r w:rsidR="00426D74">
        <w:t>)</w:t>
      </w:r>
      <w:r w:rsidR="00365A6A" w:rsidRPr="00626E3F">
        <w:t>.</w:t>
      </w:r>
    </w:p>
    <w:p w14:paraId="77ED08FD" w14:textId="5D429F38" w:rsidR="00C66D0A" w:rsidRDefault="00B00149" w:rsidP="00C66D0A">
      <w:pPr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Conclusions</w:t>
      </w:r>
      <w:r w:rsidR="00C66D0A" w:rsidRPr="00871642">
        <w:rPr>
          <w:rStyle w:val="Strong"/>
          <w:rFonts w:ascii="Arial" w:hAnsi="Arial" w:cs="Arial"/>
          <w:color w:val="000000"/>
        </w:rPr>
        <w:t>: </w:t>
      </w:r>
    </w:p>
    <w:p w14:paraId="70F0B8FC" w14:textId="69743276" w:rsidR="007A498F" w:rsidRPr="00437306" w:rsidRDefault="00365A6A" w:rsidP="00C66D0A">
      <w:r w:rsidRPr="00626E3F">
        <w:t>This is one of the largest studies to evaluate the prevalence of c</w:t>
      </w:r>
      <w:r>
        <w:t>o</w:t>
      </w:r>
      <w:r w:rsidRPr="00626E3F">
        <w:t>eliac disease in fracture patients.</w:t>
      </w:r>
      <w:r w:rsidR="00437306">
        <w:t xml:space="preserve"> </w:t>
      </w:r>
      <w:r w:rsidRPr="00DA0323">
        <w:t>The observed</w:t>
      </w:r>
      <w:r w:rsidR="002130EC">
        <w:t xml:space="preserve"> new seroprevalence </w:t>
      </w:r>
      <w:r w:rsidRPr="00DA0323">
        <w:t>was lower than</w:t>
      </w:r>
      <w:r w:rsidR="002130EC">
        <w:t xml:space="preserve"> the expected UK prevalence of coeliac disease</w:t>
      </w:r>
      <w:r w:rsidR="00B63C7D">
        <w:t xml:space="preserve">. </w:t>
      </w:r>
      <w:r w:rsidRPr="00DA0323">
        <w:t xml:space="preserve">These findings suggest that routine screening in fracture clinics may not be necessary. However, the results </w:t>
      </w:r>
      <w:r w:rsidR="00CC7A81">
        <w:t>highlight</w:t>
      </w:r>
      <w:r w:rsidRPr="00DA0323">
        <w:t xml:space="preserve"> the importance of targeted approaches for high-risk groups.</w:t>
      </w:r>
    </w:p>
    <w:p w14:paraId="5C665C52" w14:textId="365FE98C" w:rsidR="00365A6A" w:rsidRPr="009A5E41" w:rsidRDefault="00365A6A" w:rsidP="00365A6A">
      <w:pPr>
        <w:rPr>
          <w:rFonts w:cs="Times New Roman"/>
          <w:b/>
          <w:bCs/>
        </w:rPr>
      </w:pPr>
      <w:r w:rsidRPr="009A5E41">
        <w:rPr>
          <w:rFonts w:cs="Times New Roman"/>
          <w:b/>
          <w:bCs/>
        </w:rPr>
        <w:t>Table 1</w:t>
      </w:r>
    </w:p>
    <w:tbl>
      <w:tblPr>
        <w:tblStyle w:val="PlainTable1"/>
        <w:tblW w:w="9016" w:type="dxa"/>
        <w:tblLook w:val="04A0" w:firstRow="1" w:lastRow="0" w:firstColumn="1" w:lastColumn="0" w:noHBand="0" w:noVBand="1"/>
      </w:tblPr>
      <w:tblGrid>
        <w:gridCol w:w="1951"/>
        <w:gridCol w:w="1446"/>
        <w:gridCol w:w="2410"/>
        <w:gridCol w:w="1728"/>
        <w:gridCol w:w="1481"/>
      </w:tblGrid>
      <w:tr w:rsidR="00437306" w:rsidRPr="009A5E41" w14:paraId="6C8EFF3D" w14:textId="72A92B8D" w:rsidTr="0043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DF0A069" w14:textId="77777777" w:rsidR="00437306" w:rsidRPr="009A5E41" w:rsidRDefault="00437306" w:rsidP="00437306">
            <w:pPr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Variable</w:t>
            </w:r>
          </w:p>
        </w:tc>
        <w:tc>
          <w:tcPr>
            <w:tcW w:w="1446" w:type="dxa"/>
          </w:tcPr>
          <w:p w14:paraId="7346C830" w14:textId="77777777" w:rsidR="00437306" w:rsidRPr="009A5E41" w:rsidRDefault="00437306" w:rsidP="00437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Categories</w:t>
            </w:r>
          </w:p>
        </w:tc>
        <w:tc>
          <w:tcPr>
            <w:tcW w:w="2410" w:type="dxa"/>
          </w:tcPr>
          <w:p w14:paraId="7D7AD6CA" w14:textId="77777777" w:rsidR="00437306" w:rsidRPr="009A5E41" w:rsidRDefault="00437306" w:rsidP="00437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Frequency (%)</w:t>
            </w:r>
          </w:p>
        </w:tc>
        <w:tc>
          <w:tcPr>
            <w:tcW w:w="1728" w:type="dxa"/>
          </w:tcPr>
          <w:p w14:paraId="31498633" w14:textId="3E36C00A" w:rsidR="00437306" w:rsidRPr="009A5E41" w:rsidRDefault="00437306" w:rsidP="00437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Known c</w:t>
            </w:r>
            <w:r w:rsidR="00201852">
              <w:rPr>
                <w:rFonts w:cs="Times New Roman"/>
                <w:sz w:val="24"/>
                <w:szCs w:val="24"/>
              </w:rPr>
              <w:t>o</w:t>
            </w:r>
            <w:r w:rsidRPr="009A5E41">
              <w:rPr>
                <w:rFonts w:cs="Times New Roman"/>
                <w:sz w:val="24"/>
                <w:szCs w:val="24"/>
              </w:rPr>
              <w:t>eliac disease (n=5)</w:t>
            </w:r>
            <w:r w:rsidR="007C4B34">
              <w:rPr>
                <w:rFonts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81" w:type="dxa"/>
          </w:tcPr>
          <w:p w14:paraId="6CAE1357" w14:textId="22B9CA7C" w:rsidR="00437306" w:rsidRPr="009A5E41" w:rsidRDefault="00437306" w:rsidP="00437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New seropositive patients (n=4)</w:t>
            </w:r>
            <w:r w:rsidR="007C4B34">
              <w:rPr>
                <w:rFonts w:cs="Times New Roman"/>
                <w:sz w:val="24"/>
                <w:szCs w:val="24"/>
              </w:rPr>
              <w:t xml:space="preserve"> (%)</w:t>
            </w:r>
          </w:p>
        </w:tc>
      </w:tr>
      <w:tr w:rsidR="00437306" w:rsidRPr="009A5E41" w14:paraId="0A6984DB" w14:textId="194CFA45" w:rsidTr="0043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4E2AABD" w14:textId="77777777" w:rsidR="00437306" w:rsidRPr="009A5E41" w:rsidRDefault="00437306" w:rsidP="00437306">
            <w:pPr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Age in years (mean ± SD, median, range)</w:t>
            </w:r>
          </w:p>
        </w:tc>
        <w:tc>
          <w:tcPr>
            <w:tcW w:w="1446" w:type="dxa"/>
          </w:tcPr>
          <w:p w14:paraId="46BCFDEF" w14:textId="77777777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B669B88" w14:textId="77777777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55.2 ± 17.8, 56, 17-89</w:t>
            </w:r>
          </w:p>
        </w:tc>
        <w:tc>
          <w:tcPr>
            <w:tcW w:w="1728" w:type="dxa"/>
          </w:tcPr>
          <w:p w14:paraId="534A3C11" w14:textId="48B727C9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50.0 ± 29.7</w:t>
            </w:r>
            <w:r>
              <w:rPr>
                <w:rFonts w:cs="Times New Roman"/>
                <w:sz w:val="24"/>
                <w:szCs w:val="24"/>
              </w:rPr>
              <w:t>, 34, 23- 84</w:t>
            </w:r>
          </w:p>
        </w:tc>
        <w:tc>
          <w:tcPr>
            <w:tcW w:w="1481" w:type="dxa"/>
          </w:tcPr>
          <w:p w14:paraId="61EF2F2A" w14:textId="357E1DA4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51.2 ± 20.0</w:t>
            </w:r>
            <w:r>
              <w:rPr>
                <w:rFonts w:cs="Times New Roman"/>
                <w:sz w:val="24"/>
                <w:szCs w:val="24"/>
              </w:rPr>
              <w:t>, 50, 30-74</w:t>
            </w:r>
          </w:p>
        </w:tc>
      </w:tr>
      <w:tr w:rsidR="00437306" w:rsidRPr="009A5E41" w14:paraId="0940F291" w14:textId="381EB693" w:rsidTr="0043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14:paraId="0D1A6DE0" w14:textId="77777777" w:rsidR="00437306" w:rsidRPr="009A5E41" w:rsidRDefault="00437306" w:rsidP="00437306">
            <w:pPr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Gender</w:t>
            </w:r>
          </w:p>
        </w:tc>
        <w:tc>
          <w:tcPr>
            <w:tcW w:w="1446" w:type="dxa"/>
          </w:tcPr>
          <w:p w14:paraId="49F5D336" w14:textId="77777777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Male</w:t>
            </w:r>
          </w:p>
        </w:tc>
        <w:tc>
          <w:tcPr>
            <w:tcW w:w="2410" w:type="dxa"/>
          </w:tcPr>
          <w:p w14:paraId="76B4983A" w14:textId="77777777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298 (37.3)</w:t>
            </w:r>
          </w:p>
        </w:tc>
        <w:tc>
          <w:tcPr>
            <w:tcW w:w="1728" w:type="dxa"/>
          </w:tcPr>
          <w:p w14:paraId="785BC7F0" w14:textId="4243EB54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2 (40.0)</w:t>
            </w:r>
          </w:p>
        </w:tc>
        <w:tc>
          <w:tcPr>
            <w:tcW w:w="1481" w:type="dxa"/>
          </w:tcPr>
          <w:p w14:paraId="74124443" w14:textId="42A7CBAF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37306" w:rsidRPr="009A5E41" w14:paraId="61228CCE" w14:textId="2983A966" w:rsidTr="0043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14:paraId="1BA66425" w14:textId="77777777" w:rsidR="00437306" w:rsidRPr="009A5E41" w:rsidRDefault="00437306" w:rsidP="004373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95C8D25" w14:textId="77777777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Female</w:t>
            </w:r>
          </w:p>
        </w:tc>
        <w:tc>
          <w:tcPr>
            <w:tcW w:w="2410" w:type="dxa"/>
          </w:tcPr>
          <w:p w14:paraId="4E9FBD00" w14:textId="77777777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501 (62.6)</w:t>
            </w:r>
          </w:p>
        </w:tc>
        <w:tc>
          <w:tcPr>
            <w:tcW w:w="1728" w:type="dxa"/>
          </w:tcPr>
          <w:p w14:paraId="2E711053" w14:textId="3A3DCE11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3 (60.0)</w:t>
            </w:r>
          </w:p>
        </w:tc>
        <w:tc>
          <w:tcPr>
            <w:tcW w:w="1481" w:type="dxa"/>
          </w:tcPr>
          <w:p w14:paraId="428C1E56" w14:textId="701745AE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37306" w:rsidRPr="009A5E41" w14:paraId="3015854E" w14:textId="63FFED07" w:rsidTr="0043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14:paraId="05809295" w14:textId="77777777" w:rsidR="00437306" w:rsidRPr="009A5E41" w:rsidRDefault="00437306" w:rsidP="004373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0840624" w14:textId="77777777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Non-binary</w:t>
            </w:r>
          </w:p>
        </w:tc>
        <w:tc>
          <w:tcPr>
            <w:tcW w:w="2410" w:type="dxa"/>
          </w:tcPr>
          <w:p w14:paraId="53EC6CC4" w14:textId="77777777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1 (0.1)</w:t>
            </w:r>
          </w:p>
        </w:tc>
        <w:tc>
          <w:tcPr>
            <w:tcW w:w="1728" w:type="dxa"/>
          </w:tcPr>
          <w:p w14:paraId="625B8477" w14:textId="47D90671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14:paraId="6BF5B5B9" w14:textId="6BD8FBFC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37306" w:rsidRPr="009A5E41" w14:paraId="5126D8D3" w14:textId="0D9197CB" w:rsidTr="0043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14:paraId="44A7BC9B" w14:textId="77777777" w:rsidR="00437306" w:rsidRPr="009A5E41" w:rsidRDefault="00437306" w:rsidP="00437306">
            <w:pPr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Ethnicity</w:t>
            </w:r>
          </w:p>
        </w:tc>
        <w:tc>
          <w:tcPr>
            <w:tcW w:w="1446" w:type="dxa"/>
          </w:tcPr>
          <w:p w14:paraId="71FB53C8" w14:textId="77777777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White</w:t>
            </w:r>
          </w:p>
        </w:tc>
        <w:tc>
          <w:tcPr>
            <w:tcW w:w="2410" w:type="dxa"/>
          </w:tcPr>
          <w:p w14:paraId="51CA18D1" w14:textId="77777777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760 (95.0)</w:t>
            </w:r>
          </w:p>
        </w:tc>
        <w:tc>
          <w:tcPr>
            <w:tcW w:w="1728" w:type="dxa"/>
          </w:tcPr>
          <w:p w14:paraId="1472932B" w14:textId="7E47D1B4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5 (100)</w:t>
            </w:r>
          </w:p>
        </w:tc>
        <w:tc>
          <w:tcPr>
            <w:tcW w:w="1481" w:type="dxa"/>
          </w:tcPr>
          <w:p w14:paraId="0A848894" w14:textId="2444DA9B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4 (100)</w:t>
            </w:r>
          </w:p>
        </w:tc>
      </w:tr>
      <w:tr w:rsidR="00437306" w:rsidRPr="009A5E41" w14:paraId="797D49D6" w14:textId="54D70323" w:rsidTr="0043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14:paraId="5A58FAC1" w14:textId="77777777" w:rsidR="00437306" w:rsidRPr="009A5E41" w:rsidRDefault="00437306" w:rsidP="004373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298B1BB" w14:textId="77777777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Asian or Asian British</w:t>
            </w:r>
          </w:p>
        </w:tc>
        <w:tc>
          <w:tcPr>
            <w:tcW w:w="2410" w:type="dxa"/>
          </w:tcPr>
          <w:p w14:paraId="56E710D3" w14:textId="77777777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22 (2.8)</w:t>
            </w:r>
          </w:p>
        </w:tc>
        <w:tc>
          <w:tcPr>
            <w:tcW w:w="1728" w:type="dxa"/>
          </w:tcPr>
          <w:p w14:paraId="3B0133C4" w14:textId="00833BA9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14:paraId="382BBB8C" w14:textId="45948395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37306" w:rsidRPr="009A5E41" w14:paraId="4DD65435" w14:textId="5FD3962A" w:rsidTr="0043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14:paraId="5686991E" w14:textId="77777777" w:rsidR="00437306" w:rsidRPr="009A5E41" w:rsidRDefault="00437306" w:rsidP="004373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4ACEFD7" w14:textId="77777777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Mixed or multiple</w:t>
            </w:r>
          </w:p>
        </w:tc>
        <w:tc>
          <w:tcPr>
            <w:tcW w:w="2410" w:type="dxa"/>
          </w:tcPr>
          <w:p w14:paraId="7979B9B5" w14:textId="77777777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5 (0.6)</w:t>
            </w:r>
          </w:p>
        </w:tc>
        <w:tc>
          <w:tcPr>
            <w:tcW w:w="1728" w:type="dxa"/>
          </w:tcPr>
          <w:p w14:paraId="177E1601" w14:textId="6D88C604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14:paraId="5B1EF103" w14:textId="3321796C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37306" w:rsidRPr="009A5E41" w14:paraId="3AA2243B" w14:textId="2072D123" w:rsidTr="0043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14:paraId="32694E0C" w14:textId="77777777" w:rsidR="00437306" w:rsidRPr="009A5E41" w:rsidRDefault="00437306" w:rsidP="004373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CE3DF34" w14:textId="77777777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Black, Black British, Caribbean, or African</w:t>
            </w:r>
          </w:p>
        </w:tc>
        <w:tc>
          <w:tcPr>
            <w:tcW w:w="2410" w:type="dxa"/>
          </w:tcPr>
          <w:p w14:paraId="1CF69440" w14:textId="77777777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10 (1.3)</w:t>
            </w:r>
          </w:p>
        </w:tc>
        <w:tc>
          <w:tcPr>
            <w:tcW w:w="1728" w:type="dxa"/>
          </w:tcPr>
          <w:p w14:paraId="2ED4B236" w14:textId="263BE25A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14:paraId="30C57B9D" w14:textId="6267606C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37306" w:rsidRPr="009A5E41" w14:paraId="45209D73" w14:textId="31D2F7ED" w:rsidTr="0043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14:paraId="7954C21F" w14:textId="77777777" w:rsidR="00437306" w:rsidRPr="009A5E41" w:rsidRDefault="00437306" w:rsidP="004373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3A82589" w14:textId="77777777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9A5E41">
              <w:rPr>
                <w:rFonts w:cs="Times New Roman"/>
                <w:sz w:val="24"/>
                <w:szCs w:val="24"/>
              </w:rPr>
              <w:t>Other</w:t>
            </w:r>
            <w:proofErr w:type="gramEnd"/>
            <w:r w:rsidRPr="009A5E41">
              <w:rPr>
                <w:rFonts w:cs="Times New Roman"/>
                <w:sz w:val="24"/>
                <w:szCs w:val="24"/>
              </w:rPr>
              <w:t xml:space="preserve"> ethnic group</w:t>
            </w:r>
          </w:p>
        </w:tc>
        <w:tc>
          <w:tcPr>
            <w:tcW w:w="2410" w:type="dxa"/>
          </w:tcPr>
          <w:p w14:paraId="24B4BF6E" w14:textId="77777777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3 (0.4)</w:t>
            </w:r>
          </w:p>
        </w:tc>
        <w:tc>
          <w:tcPr>
            <w:tcW w:w="1728" w:type="dxa"/>
          </w:tcPr>
          <w:p w14:paraId="134EC066" w14:textId="32EB053F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14:paraId="4F37B915" w14:textId="7D351EF2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37306" w:rsidRPr="009A5E41" w14:paraId="7F329773" w14:textId="0239640D" w:rsidTr="0043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14:paraId="0F45315A" w14:textId="77777777" w:rsidR="00437306" w:rsidRPr="009A5E41" w:rsidRDefault="00437306" w:rsidP="00437306">
            <w:pPr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Fracture site</w:t>
            </w:r>
          </w:p>
        </w:tc>
        <w:tc>
          <w:tcPr>
            <w:tcW w:w="1446" w:type="dxa"/>
          </w:tcPr>
          <w:p w14:paraId="6C8304BD" w14:textId="77777777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Upper limb</w:t>
            </w:r>
          </w:p>
        </w:tc>
        <w:tc>
          <w:tcPr>
            <w:tcW w:w="2410" w:type="dxa"/>
          </w:tcPr>
          <w:p w14:paraId="7959A597" w14:textId="77777777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508 (63.5)</w:t>
            </w:r>
          </w:p>
        </w:tc>
        <w:tc>
          <w:tcPr>
            <w:tcW w:w="1728" w:type="dxa"/>
          </w:tcPr>
          <w:p w14:paraId="1DC93EC2" w14:textId="79F11AAE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4 (80.0)</w:t>
            </w:r>
          </w:p>
        </w:tc>
        <w:tc>
          <w:tcPr>
            <w:tcW w:w="1481" w:type="dxa"/>
          </w:tcPr>
          <w:p w14:paraId="4C795937" w14:textId="31996D4A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3 (75.0)</w:t>
            </w:r>
          </w:p>
        </w:tc>
      </w:tr>
      <w:tr w:rsidR="00437306" w:rsidRPr="009A5E41" w14:paraId="5190E29B" w14:textId="23FCCECE" w:rsidTr="0043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14:paraId="52E911E2" w14:textId="77777777" w:rsidR="00437306" w:rsidRPr="009A5E41" w:rsidRDefault="00437306" w:rsidP="004373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25FF5B9" w14:textId="77777777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Lower limb</w:t>
            </w:r>
          </w:p>
        </w:tc>
        <w:tc>
          <w:tcPr>
            <w:tcW w:w="2410" w:type="dxa"/>
          </w:tcPr>
          <w:p w14:paraId="4662A641" w14:textId="77777777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284 (35.5)</w:t>
            </w:r>
          </w:p>
        </w:tc>
        <w:tc>
          <w:tcPr>
            <w:tcW w:w="1728" w:type="dxa"/>
          </w:tcPr>
          <w:p w14:paraId="4A9F6536" w14:textId="66026EE5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1 (20.0)</w:t>
            </w:r>
          </w:p>
        </w:tc>
        <w:tc>
          <w:tcPr>
            <w:tcW w:w="1481" w:type="dxa"/>
          </w:tcPr>
          <w:p w14:paraId="5FFAB855" w14:textId="06653E2E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1 (25.0)</w:t>
            </w:r>
          </w:p>
        </w:tc>
      </w:tr>
      <w:tr w:rsidR="00437306" w:rsidRPr="009A5E41" w14:paraId="50915687" w14:textId="611AA99F" w:rsidTr="0043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14:paraId="3E5229BA" w14:textId="77777777" w:rsidR="00437306" w:rsidRPr="009A5E41" w:rsidRDefault="00437306" w:rsidP="004373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117A11B" w14:textId="77777777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Spinal</w:t>
            </w:r>
          </w:p>
        </w:tc>
        <w:tc>
          <w:tcPr>
            <w:tcW w:w="2410" w:type="dxa"/>
          </w:tcPr>
          <w:p w14:paraId="328C6F29" w14:textId="77777777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3 (0.4)</w:t>
            </w:r>
          </w:p>
        </w:tc>
        <w:tc>
          <w:tcPr>
            <w:tcW w:w="1728" w:type="dxa"/>
          </w:tcPr>
          <w:p w14:paraId="63E5AAF7" w14:textId="750F2F44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14:paraId="7CDCAF00" w14:textId="62954B9F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37306" w:rsidRPr="009A5E41" w14:paraId="3C9364AB" w14:textId="7FD04859" w:rsidTr="0043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14:paraId="72B162B0" w14:textId="77777777" w:rsidR="00437306" w:rsidRPr="009A5E41" w:rsidRDefault="00437306" w:rsidP="004373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A23FE7D" w14:textId="77777777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Other</w:t>
            </w:r>
          </w:p>
        </w:tc>
        <w:tc>
          <w:tcPr>
            <w:tcW w:w="2410" w:type="dxa"/>
          </w:tcPr>
          <w:p w14:paraId="71E6C152" w14:textId="77777777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5 (0.6)</w:t>
            </w:r>
          </w:p>
        </w:tc>
        <w:tc>
          <w:tcPr>
            <w:tcW w:w="1728" w:type="dxa"/>
          </w:tcPr>
          <w:p w14:paraId="1553A0E9" w14:textId="1482FFC9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14:paraId="4450BDE5" w14:textId="009B8084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37306" w:rsidRPr="009A5E41" w14:paraId="4467415E" w14:textId="224BDEEB" w:rsidTr="0043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14:paraId="7D89D3F3" w14:textId="692EA893" w:rsidR="00437306" w:rsidRPr="009A5E41" w:rsidRDefault="00437306" w:rsidP="00437306">
            <w:pPr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 xml:space="preserve">Known to have </w:t>
            </w:r>
            <w:r w:rsidR="002E1968">
              <w:rPr>
                <w:rFonts w:cs="Times New Roman"/>
                <w:sz w:val="24"/>
                <w:szCs w:val="24"/>
              </w:rPr>
              <w:t>c</w:t>
            </w:r>
            <w:r w:rsidR="009448A1">
              <w:rPr>
                <w:rFonts w:cs="Times New Roman"/>
                <w:sz w:val="24"/>
                <w:szCs w:val="24"/>
              </w:rPr>
              <w:t>o</w:t>
            </w:r>
            <w:r w:rsidRPr="009A5E41">
              <w:rPr>
                <w:rFonts w:cs="Times New Roman"/>
                <w:sz w:val="24"/>
                <w:szCs w:val="24"/>
              </w:rPr>
              <w:t>eliac disease</w:t>
            </w:r>
          </w:p>
        </w:tc>
        <w:tc>
          <w:tcPr>
            <w:tcW w:w="1446" w:type="dxa"/>
          </w:tcPr>
          <w:p w14:paraId="2B951DB2" w14:textId="77777777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2410" w:type="dxa"/>
          </w:tcPr>
          <w:p w14:paraId="12A0F86E" w14:textId="77777777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5 (0.6)</w:t>
            </w:r>
          </w:p>
        </w:tc>
        <w:tc>
          <w:tcPr>
            <w:tcW w:w="1728" w:type="dxa"/>
          </w:tcPr>
          <w:p w14:paraId="0A3B78E7" w14:textId="55A28738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14:paraId="2699F2FD" w14:textId="7FC84FB5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437306" w:rsidRPr="009A5E41" w14:paraId="137F8C40" w14:textId="574C383E" w:rsidTr="0043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14:paraId="48438FD6" w14:textId="77777777" w:rsidR="00437306" w:rsidRPr="009A5E41" w:rsidRDefault="00437306" w:rsidP="004373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2F1D2AA" w14:textId="77777777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722BC05C" w14:textId="77777777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A5E41">
              <w:rPr>
                <w:rFonts w:cs="Times New Roman"/>
                <w:sz w:val="24"/>
                <w:szCs w:val="24"/>
              </w:rPr>
              <w:t>795 (99.4)</w:t>
            </w:r>
          </w:p>
        </w:tc>
        <w:tc>
          <w:tcPr>
            <w:tcW w:w="1728" w:type="dxa"/>
          </w:tcPr>
          <w:p w14:paraId="38720C42" w14:textId="0F93C884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14:paraId="0A4D116D" w14:textId="2A61AA20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437306" w:rsidRPr="009A5E41" w14:paraId="4E691CA5" w14:textId="64FD600D" w:rsidTr="0043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F342C6C" w14:textId="77777777" w:rsidR="00437306" w:rsidRPr="009A5E41" w:rsidRDefault="00437306" w:rsidP="00437306">
            <w:pPr>
              <w:rPr>
                <w:rFonts w:cs="Times New Roman"/>
              </w:rPr>
            </w:pPr>
            <w:r w:rsidRPr="009A5E41">
              <w:rPr>
                <w:rFonts w:cs="Times New Roman"/>
                <w:sz w:val="24"/>
                <w:szCs w:val="24"/>
              </w:rPr>
              <w:t>TTG test result</w:t>
            </w:r>
          </w:p>
        </w:tc>
        <w:tc>
          <w:tcPr>
            <w:tcW w:w="1446" w:type="dxa"/>
          </w:tcPr>
          <w:p w14:paraId="2F98F56A" w14:textId="77777777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5E41">
              <w:rPr>
                <w:rFonts w:cs="Times New Roman"/>
                <w:sz w:val="24"/>
                <w:szCs w:val="24"/>
              </w:rPr>
              <w:t>Positive</w:t>
            </w:r>
          </w:p>
        </w:tc>
        <w:tc>
          <w:tcPr>
            <w:tcW w:w="2410" w:type="dxa"/>
          </w:tcPr>
          <w:p w14:paraId="1A0BB69B" w14:textId="77777777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9A5E41">
              <w:rPr>
                <w:rFonts w:cs="Times New Roman"/>
                <w:sz w:val="24"/>
                <w:szCs w:val="24"/>
              </w:rPr>
              <w:t>4 (0.5)</w:t>
            </w:r>
          </w:p>
        </w:tc>
        <w:tc>
          <w:tcPr>
            <w:tcW w:w="1728" w:type="dxa"/>
          </w:tcPr>
          <w:p w14:paraId="62EB3FFF" w14:textId="572A4E6D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14:paraId="760311F8" w14:textId="0D0F98B2" w:rsidR="00437306" w:rsidRPr="009A5E41" w:rsidRDefault="00437306" w:rsidP="0043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437306" w:rsidRPr="009A5E41" w14:paraId="70D216D1" w14:textId="19BE705A" w:rsidTr="0043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17CB298" w14:textId="77777777" w:rsidR="00437306" w:rsidRPr="009A5E41" w:rsidRDefault="00437306" w:rsidP="00437306">
            <w:pPr>
              <w:rPr>
                <w:rFonts w:cs="Times New Roman"/>
              </w:rPr>
            </w:pPr>
          </w:p>
        </w:tc>
        <w:tc>
          <w:tcPr>
            <w:tcW w:w="1446" w:type="dxa"/>
          </w:tcPr>
          <w:p w14:paraId="17DC4418" w14:textId="77777777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A5E41">
              <w:rPr>
                <w:rFonts w:cs="Times New Roman"/>
                <w:sz w:val="24"/>
                <w:szCs w:val="24"/>
              </w:rPr>
              <w:t>Negative</w:t>
            </w:r>
          </w:p>
        </w:tc>
        <w:tc>
          <w:tcPr>
            <w:tcW w:w="2410" w:type="dxa"/>
          </w:tcPr>
          <w:p w14:paraId="782CFC25" w14:textId="77777777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9A5E41">
              <w:rPr>
                <w:rFonts w:cs="Times New Roman"/>
                <w:sz w:val="24"/>
                <w:szCs w:val="24"/>
              </w:rPr>
              <w:t>796 (99.5)</w:t>
            </w:r>
          </w:p>
        </w:tc>
        <w:tc>
          <w:tcPr>
            <w:tcW w:w="1728" w:type="dxa"/>
          </w:tcPr>
          <w:p w14:paraId="3CF2DC3E" w14:textId="1628850C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14:paraId="4BF80DF7" w14:textId="42A6DAE6" w:rsidR="00437306" w:rsidRPr="009A5E41" w:rsidRDefault="00437306" w:rsidP="0043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46C24809" w14:textId="77777777" w:rsidR="00365A6A" w:rsidRPr="00E864C2" w:rsidRDefault="00365A6A" w:rsidP="00365A6A">
      <w:pPr>
        <w:rPr>
          <w:rFonts w:cs="Times New Roman"/>
        </w:rPr>
      </w:pPr>
      <w:r w:rsidRPr="009A5E41">
        <w:rPr>
          <w:rFonts w:cs="Times New Roman"/>
        </w:rPr>
        <w:t xml:space="preserve"> </w:t>
      </w:r>
    </w:p>
    <w:p w14:paraId="5B7EDD20" w14:textId="77777777" w:rsidR="00D16C31" w:rsidRDefault="00D16C31"/>
    <w:sectPr w:rsidR="00D16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8477F"/>
    <w:multiLevelType w:val="hybridMultilevel"/>
    <w:tmpl w:val="1B12E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F1203"/>
    <w:multiLevelType w:val="hybridMultilevel"/>
    <w:tmpl w:val="493E2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156D7"/>
    <w:multiLevelType w:val="hybridMultilevel"/>
    <w:tmpl w:val="A8C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6355A"/>
    <w:multiLevelType w:val="hybridMultilevel"/>
    <w:tmpl w:val="8244EB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63C1C"/>
    <w:multiLevelType w:val="hybridMultilevel"/>
    <w:tmpl w:val="7292D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70770">
    <w:abstractNumId w:val="0"/>
  </w:num>
  <w:num w:numId="2" w16cid:durableId="1012411883">
    <w:abstractNumId w:val="1"/>
  </w:num>
  <w:num w:numId="3" w16cid:durableId="634257567">
    <w:abstractNumId w:val="4"/>
  </w:num>
  <w:num w:numId="4" w16cid:durableId="1411852282">
    <w:abstractNumId w:val="2"/>
  </w:num>
  <w:num w:numId="5" w16cid:durableId="236744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0A"/>
    <w:rsid w:val="000C3E71"/>
    <w:rsid w:val="0011137C"/>
    <w:rsid w:val="00201852"/>
    <w:rsid w:val="002130EC"/>
    <w:rsid w:val="002E1968"/>
    <w:rsid w:val="00365A6A"/>
    <w:rsid w:val="003F546E"/>
    <w:rsid w:val="00406426"/>
    <w:rsid w:val="00426D74"/>
    <w:rsid w:val="00437306"/>
    <w:rsid w:val="00544947"/>
    <w:rsid w:val="00617A55"/>
    <w:rsid w:val="006247B5"/>
    <w:rsid w:val="006B0EA5"/>
    <w:rsid w:val="007A498F"/>
    <w:rsid w:val="007C4B34"/>
    <w:rsid w:val="0084486F"/>
    <w:rsid w:val="009448A1"/>
    <w:rsid w:val="00A70AD0"/>
    <w:rsid w:val="00B00149"/>
    <w:rsid w:val="00B63C7D"/>
    <w:rsid w:val="00C66D0A"/>
    <w:rsid w:val="00CC7A81"/>
    <w:rsid w:val="00CD56C3"/>
    <w:rsid w:val="00D16C31"/>
    <w:rsid w:val="00E4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7C4F"/>
  <w15:chartTrackingRefBased/>
  <w15:docId w15:val="{2513D1D6-C5DF-45D8-9FAC-6B238D08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6D0A"/>
    <w:rPr>
      <w:b/>
      <w:bCs/>
    </w:rPr>
  </w:style>
  <w:style w:type="paragraph" w:styleId="ListParagraph">
    <w:name w:val="List Paragraph"/>
    <w:basedOn w:val="Normal"/>
    <w:uiPriority w:val="34"/>
    <w:qFormat/>
    <w:rsid w:val="00365A6A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365A6A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365A6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D0606AAC24C4BB39CD917748087AC" ma:contentTypeVersion="19" ma:contentTypeDescription="Create a new document." ma:contentTypeScope="" ma:versionID="118a572c703415b812a27fd7dd4b18fd">
  <xsd:schema xmlns:xsd="http://www.w3.org/2001/XMLSchema" xmlns:xs="http://www.w3.org/2001/XMLSchema" xmlns:p="http://schemas.microsoft.com/office/2006/metadata/properties" xmlns:ns2="eec3f55b-a9b2-4102-a16c-8ff48ca4bb68" xmlns:ns3="cb2ae47a-b3ea-43a8-a652-f5d4c51bf437" xmlns:ns4="4e4aa9c8-e249-4689-a79c-5668e8fb8004" targetNamespace="http://schemas.microsoft.com/office/2006/metadata/properties" ma:root="true" ma:fieldsID="06eed124841ef3ad91c6dc586c2aa2d1" ns2:_="" ns3:_="" ns4:_="">
    <xsd:import namespace="eec3f55b-a9b2-4102-a16c-8ff48ca4bb68"/>
    <xsd:import namespace="cb2ae47a-b3ea-43a8-a652-f5d4c51bf437"/>
    <xsd:import namespace="4e4aa9c8-e249-4689-a79c-5668e8fb8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55b-a9b2-4102-a16c-8ff48ca4b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ed0326-c9f1-4b81-a75c-020ae7352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ae47a-b3ea-43a8-a652-f5d4c51bf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a9c8-e249-4689-a79c-5668e8fb800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3c4a6cd-2da3-4875-b1f0-367a1f43dd01}" ma:internalName="TaxCatchAll" ma:showField="CatchAllData" ma:web="4e4aa9c8-e249-4689-a79c-5668e8fb8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aa9c8-e249-4689-a79c-5668e8fb8004" xsi:nil="true"/>
    <lcf76f155ced4ddcb4097134ff3c332f xmlns="eec3f55b-a9b2-4102-a16c-8ff48ca4bb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F32D7-F467-4C46-BC9C-A74B78D31867}"/>
</file>

<file path=customXml/itemProps2.xml><?xml version="1.0" encoding="utf-8"?>
<ds:datastoreItem xmlns:ds="http://schemas.openxmlformats.org/officeDocument/2006/customXml" ds:itemID="{26D36A25-76D2-4F61-957B-F72D85F4B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F8CA11-A04C-4F5B-87E4-B1679B286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Geraghty</dc:creator>
  <cp:keywords/>
  <dc:description/>
  <cp:lastModifiedBy>frankie fan</cp:lastModifiedBy>
  <cp:revision>10</cp:revision>
  <dcterms:created xsi:type="dcterms:W3CDTF">2025-01-22T09:11:00Z</dcterms:created>
  <dcterms:modified xsi:type="dcterms:W3CDTF">2025-01-22T10:30:00Z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0x010100499D0606AAC24C4BB39CD917748087AC</vt:lpwstr>
  </property>
</Properties>
</file>